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94" w:rsidRDefault="00D22694" w:rsidP="000C3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D22694" w:rsidRDefault="00D22694" w:rsidP="000C3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результатам экспертизы </w:t>
      </w:r>
      <w:r w:rsidR="00E807E2" w:rsidRPr="00E807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E807E2" w:rsidRPr="00E807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</w:t>
      </w:r>
    </w:p>
    <w:p w:rsidR="00E807E2" w:rsidRPr="00E807E2" w:rsidRDefault="00E807E2" w:rsidP="000C3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Ханты-Мансийского района</w:t>
      </w:r>
    </w:p>
    <w:p w:rsidR="00E807E2" w:rsidRPr="00E807E2" w:rsidRDefault="00E807E2" w:rsidP="000C30DB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изменений в решение Думы Ханты-Мансийского района</w:t>
      </w:r>
    </w:p>
    <w:p w:rsidR="00E807E2" w:rsidRPr="00E807E2" w:rsidRDefault="00E807E2" w:rsidP="000C30DB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от 07.12.2018 № 375 «О бюджете Ханты-Мансийского района</w:t>
      </w:r>
    </w:p>
    <w:p w:rsidR="00E807E2" w:rsidRPr="00E807E2" w:rsidRDefault="00E807E2" w:rsidP="000C30DB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2019 год и плановый период 2020 и 2021 годов»</w:t>
      </w:r>
    </w:p>
    <w:bookmarkEnd w:id="0"/>
    <w:p w:rsidR="00E807E2" w:rsidRPr="009424B1" w:rsidRDefault="00E807E2" w:rsidP="000C3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807E2" w:rsidRPr="009424B1" w:rsidRDefault="004B2143" w:rsidP="000C30DB">
      <w:pPr>
        <w:pStyle w:val="ConsTitle"/>
        <w:widowControl/>
        <w:ind w:right="0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  <w:r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ab/>
      </w:r>
      <w:proofErr w:type="gramStart"/>
      <w:r w:rsidR="00E807E2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На основании полномочий, предусмотренных пунктом 2 статьи                             157 Бюджетного кодекса Российской Федерации, пунктом 2 части 2 статьи                        9 Федерального закона от 07.02.2011 №</w:t>
      </w:r>
      <w:r w:rsidR="00E807E2" w:rsidRPr="009424B1">
        <w:rPr>
          <w:rFonts w:ascii="Times New Roman" w:hAnsi="Times New Roman" w:cs="Times New Roman"/>
          <w:b w:val="0"/>
          <w:lang w:eastAsia="ru-RU"/>
        </w:rPr>
        <w:t> </w:t>
      </w:r>
      <w:r w:rsidR="00E807E2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пунктом 2 части  5 статьи 27.5 Устава Ханты-Мансийского района, пунктом 2 части 1 статьи 9 Положения о Контрольно-счетной палате Ханты-Мансийского района, утвержденного решением</w:t>
      </w:r>
      <w:proofErr w:type="gramEnd"/>
      <w:r w:rsidR="00E807E2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="00E807E2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Думы Ханты-Мансийского района</w:t>
      </w:r>
      <w:r w:rsidR="00206F4B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                            </w:t>
      </w:r>
      <w:r w:rsidR="00E807E2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от 22.12.2011 № 99 «Об образовании Контрольно-счетной палаты </w:t>
      </w:r>
      <w:r w:rsidR="00206F4B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             </w:t>
      </w:r>
      <w:r w:rsidR="00E807E2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Ханты-Мансийского района» проведена</w:t>
      </w:r>
      <w:r w:rsidR="00E807E2" w:rsidRPr="009424B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экспертиза</w:t>
      </w:r>
      <w:r w:rsidR="00E807E2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проекта решения Думы Ханты-Мансийского района </w:t>
      </w:r>
      <w:r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«</w:t>
      </w:r>
      <w:r w:rsidRPr="009424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решение Думы Ханты-Мансийского района от 07.12.2018 № 375 «О бюджете </w:t>
      </w:r>
      <w:r w:rsidR="00206F4B" w:rsidRPr="009424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Pr="009424B1">
        <w:rPr>
          <w:rFonts w:ascii="Times New Roman" w:hAnsi="Times New Roman" w:cs="Times New Roman"/>
          <w:b w:val="0"/>
          <w:color w:val="000000"/>
          <w:sz w:val="28"/>
          <w:szCs w:val="28"/>
        </w:rPr>
        <w:t>Ханты-Мансийского района</w:t>
      </w:r>
      <w:r w:rsidR="00206F4B" w:rsidRPr="009424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424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2019 год и плановый период </w:t>
      </w:r>
      <w:r w:rsidR="00206F4B" w:rsidRPr="009424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</w:t>
      </w:r>
      <w:r w:rsidRPr="009424B1">
        <w:rPr>
          <w:rFonts w:ascii="Times New Roman" w:hAnsi="Times New Roman" w:cs="Times New Roman"/>
          <w:b w:val="0"/>
          <w:color w:val="000000"/>
          <w:sz w:val="28"/>
          <w:szCs w:val="28"/>
        </w:rPr>
        <w:t>2020 и 2021 годов»</w:t>
      </w:r>
      <w:r w:rsidR="00E807E2" w:rsidRPr="00942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(далее – Проект решения) на соответствие нормам, предусмотренным законодательством Российской Федерации, </w:t>
      </w:r>
      <w:r w:rsidR="00206F4B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                  </w:t>
      </w:r>
      <w:r w:rsidR="00E807E2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Ханты-Мансийского автономного округа – Югры, нормативными актами</w:t>
      </w:r>
      <w:proofErr w:type="gramEnd"/>
      <w:r w:rsidR="00E807E2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Ханты-Мансийского района.</w:t>
      </w:r>
    </w:p>
    <w:p w:rsidR="008E6F27" w:rsidRDefault="006021A2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на рассмотрение в Думу                                 Ханты-Мансийского района </w:t>
      </w:r>
      <w:r w:rsidR="009424B1" w:rsidRPr="009424B1">
        <w:rPr>
          <w:rFonts w:ascii="Times New Roman" w:eastAsia="Times New Roman" w:hAnsi="Times New Roman" w:cs="Times New Roman"/>
          <w:sz w:val="28"/>
          <w:szCs w:val="28"/>
          <w:lang w:eastAsia="ru-RU"/>
        </w:rPr>
        <w:t>06 мая</w:t>
      </w:r>
      <w:r w:rsidRPr="0094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E6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1A2" w:rsidRPr="00AA3F1E" w:rsidRDefault="008E6F27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что </w:t>
      </w:r>
      <w:r w:rsidR="006021A2"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статьи 9 Положения об отдельных вопросах организации и осуществления бюджетного процесса</w:t>
      </w:r>
      <w:r w:rsidR="0032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21A2"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021A2"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21A2"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6021A2"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утвержденного Думой Ханты-Мансийског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от 05.12.2007 № 213</w:t>
      </w:r>
      <w:r w:rsidR="006021A2"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определено, что </w:t>
      </w:r>
      <w:r w:rsidR="006021A2"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2"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о бюджете района рассматриваются Думой района в течение</w:t>
      </w:r>
      <w:r w:rsidR="00AA3F1E"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21A2"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</w:t>
      </w:r>
      <w:r w:rsidR="00AA3F1E"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2"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внесения</w:t>
      </w:r>
      <w:bookmarkStart w:id="1" w:name="Par0"/>
      <w:bookmarkEnd w:id="1"/>
      <w:r w:rsidR="006021A2" w:rsidRPr="00AA3F1E">
        <w:rPr>
          <w:rFonts w:ascii="Times New Roman" w:hAnsi="Times New Roman" w:cs="Times New Roman"/>
          <w:sz w:val="28"/>
          <w:szCs w:val="28"/>
        </w:rPr>
        <w:t>.</w:t>
      </w:r>
    </w:p>
    <w:p w:rsidR="00E807E2" w:rsidRPr="00B53AC6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Проектом решения в контрольно-счетную палату                       </w:t>
      </w:r>
      <w:r w:rsidR="00323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Ханты-Мансийского района, 07.05.2019, </w:t>
      </w: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копии:</w:t>
      </w:r>
    </w:p>
    <w:p w:rsidR="00E807E2" w:rsidRPr="00B53AC6" w:rsidRDefault="00E807E2" w:rsidP="000C30D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1. пояснительная записка;</w:t>
      </w:r>
    </w:p>
    <w:p w:rsidR="00E807E2" w:rsidRPr="00B53AC6" w:rsidRDefault="00E807E2" w:rsidP="000C30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антикоррупционной экспертизы                      (об отсутствии коррупциогенных факторов) юридическо-правового управления администрации Ханты-Мансийского района                                       от </w:t>
      </w:r>
      <w:r w:rsid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</w:t>
      </w:r>
      <w:r w:rsidR="002F3E00" w:rsidRP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7E2" w:rsidRPr="00B53AC6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3. анализ исполнения доходной части бюджета Ханты-Мансийского района по состоянию на 01.0</w:t>
      </w:r>
      <w:r w:rsidR="00B53AC6"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F3E00"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807E2" w:rsidRPr="00B53AC6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4. анализ исполнения расходной части бюджета Ханты-Мансийского района по состоянию на 01.</w:t>
      </w:r>
      <w:r w:rsidR="00206F4B"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B53AC6"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06F4B"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="002F3E00"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019</w:t>
      </w: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F3E00" w:rsidRPr="00B53AC6" w:rsidRDefault="002F3E00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</w:t>
      </w:r>
      <w:r w:rsidR="009059C9"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146C"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итоги социально-экономического развития Ханты-Мансийского района за 2018 года;</w:t>
      </w:r>
    </w:p>
    <w:p w:rsidR="00E807E2" w:rsidRPr="004D0AB3" w:rsidRDefault="00B53AC6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B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64D19" w:rsidRPr="004D0AB3">
        <w:rPr>
          <w:rFonts w:ascii="Times New Roman" w:eastAsia="Calibri" w:hAnsi="Times New Roman" w:cs="Times New Roman"/>
          <w:sz w:val="28"/>
          <w:szCs w:val="28"/>
          <w:lang w:eastAsia="ru-RU"/>
        </w:rPr>
        <w:t>. обоснование вносимых изменений по расходам</w:t>
      </w:r>
      <w:r w:rsidR="00E807E2" w:rsidRPr="004D0A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разрезе главных распорядителей средств бюджета Ханты-Мансийского района.</w:t>
      </w:r>
    </w:p>
    <w:p w:rsidR="00B53AC6" w:rsidRPr="004D0AB3" w:rsidRDefault="00B53AC6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7E2" w:rsidRPr="00BE0C05" w:rsidRDefault="0032342B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Представленным Проектом решения</w:t>
      </w:r>
      <w:r w:rsidR="00E807E2" w:rsidRPr="00BE0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уточняются основные характеристики бюджета </w:t>
      </w:r>
      <w:r w:rsidR="007B2A5C" w:rsidRPr="00BE0C05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2019</w:t>
      </w:r>
      <w:r w:rsidR="00E807E2" w:rsidRPr="00BE0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           </w:t>
      </w:r>
      <w:r w:rsidR="007B2A5C" w:rsidRPr="00BE0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и плановый период 2020 и 202</w:t>
      </w:r>
      <w:r w:rsidR="00206F4B" w:rsidRPr="00BE0C0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807E2" w:rsidRPr="00BE0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годов.</w:t>
      </w:r>
    </w:p>
    <w:p w:rsidR="00E807E2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</w:t>
      </w:r>
      <w:r w:rsidR="007B2A5C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бюджета на 2019</w:t>
      </w:r>
      <w:r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</w:t>
      </w:r>
      <w:r w:rsidR="004D19CB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BE0C05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E0C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1</w:t>
      </w:r>
    </w:p>
    <w:p w:rsidR="00E807E2" w:rsidRPr="00BE0C05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05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535"/>
        <w:gridCol w:w="1701"/>
        <w:gridCol w:w="1843"/>
        <w:gridCol w:w="1099"/>
      </w:tblGrid>
      <w:tr w:rsidR="001D578D" w:rsidRPr="00BE0C05" w:rsidTr="00206F4B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:rsidR="001D578D" w:rsidRPr="00BE0C05" w:rsidRDefault="001D578D" w:rsidP="001D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1D578D" w:rsidRPr="00BE0C05" w:rsidRDefault="001D578D" w:rsidP="002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</w:t>
            </w:r>
            <w:r w:rsidR="00206F4B"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от </w:t>
            </w:r>
            <w:r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07.12.2018 № 375   </w:t>
            </w:r>
            <w:r w:rsidR="00BE0C05"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(в ред. от 20.02.2019 № 440)</w:t>
            </w:r>
            <w:r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578D" w:rsidRPr="00BE0C05" w:rsidRDefault="001D578D" w:rsidP="001D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578D" w:rsidRPr="00BE0C05" w:rsidRDefault="001D578D" w:rsidP="002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</w:t>
            </w:r>
            <w:r w:rsidR="00206F4B"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сумме (гр.3-гр.2)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D578D" w:rsidRPr="00BE0C05" w:rsidRDefault="001D578D" w:rsidP="001D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1D578D" w:rsidRPr="00BE0C05" w:rsidTr="00206F4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1D578D" w:rsidRPr="00BE0C05" w:rsidRDefault="001D578D" w:rsidP="001D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1D578D" w:rsidRPr="00BE0C05" w:rsidRDefault="001D578D" w:rsidP="001D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578D" w:rsidRPr="00BE0C05" w:rsidRDefault="001D578D" w:rsidP="001D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578D" w:rsidRPr="00BE0C05" w:rsidRDefault="001D578D" w:rsidP="001D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D578D" w:rsidRPr="00BE0C05" w:rsidRDefault="001D578D" w:rsidP="001D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E0C05" w:rsidRPr="00BE0C05" w:rsidTr="00BE0C0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BE0C05" w:rsidRPr="00BE0C05" w:rsidRDefault="00BE0C05" w:rsidP="001D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E0C05" w:rsidRPr="00BE0C05" w:rsidRDefault="00C5134A" w:rsidP="00BE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3 270 299,7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C05" w:rsidRPr="00BE0C05" w:rsidRDefault="00C5134A" w:rsidP="00BE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3 502 980,0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0C05" w:rsidRPr="00BE0C05" w:rsidRDefault="00C5134A" w:rsidP="00BE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232 680,3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E0C05" w:rsidRPr="00BE0C05" w:rsidRDefault="00BE0C05" w:rsidP="00BE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BE0C05" w:rsidRPr="00BE0C05" w:rsidTr="00BE0C0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BE0C05" w:rsidRPr="00BE0C05" w:rsidRDefault="00BE0C05" w:rsidP="001D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E0C05" w:rsidRPr="00BE0C05" w:rsidRDefault="00C5134A" w:rsidP="00BE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4 028 122,2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C05" w:rsidRPr="00BE0C05" w:rsidRDefault="00C5134A" w:rsidP="00BE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4 258 802,5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0C05" w:rsidRPr="00BE0C05" w:rsidRDefault="00C5134A" w:rsidP="00BE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230 680,3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E0C05" w:rsidRPr="00BE0C05" w:rsidRDefault="00BE0C05" w:rsidP="00BE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BE0C05" w:rsidRPr="00BE0C05" w:rsidTr="00BE0C0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BE0C05" w:rsidRPr="00BE0C05" w:rsidRDefault="00BE0C05" w:rsidP="001D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E0C05" w:rsidRPr="00BE0C05" w:rsidRDefault="00C5134A" w:rsidP="00BE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-757 822,5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C05" w:rsidRPr="00BE0C05" w:rsidRDefault="00C5134A" w:rsidP="00BE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-755 822,5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0C05" w:rsidRPr="00BE0C05" w:rsidRDefault="00C5134A" w:rsidP="00BE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E0C05" w:rsidRPr="00BE0C05" w:rsidRDefault="00BE0C05" w:rsidP="00BE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</w:tr>
    </w:tbl>
    <w:p w:rsidR="001D578D" w:rsidRPr="00BE0C05" w:rsidRDefault="001D578D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1441" w:rsidRDefault="00541441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7E2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предлагается</w:t>
      </w:r>
      <w:r w:rsidR="00323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07E2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часть </w:t>
      </w:r>
      <w:r w:rsidR="00782501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6F3B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>232 680,</w:t>
      </w:r>
      <w:r w:rsid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0984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BE0C05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206F4B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расходную часть</w:t>
      </w:r>
      <w:r w:rsidR="00E807E2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E0C05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>230 680,3</w:t>
      </w:r>
      <w:r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="002F6F3B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на </w:t>
      </w:r>
      <w:r w:rsidR="00BE0C05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>5,7 %. Дефицит бюджета уменьшится на 2 000,</w:t>
      </w:r>
      <w:r w:rsid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0C05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0,3</w:t>
      </w:r>
      <w:r w:rsid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составит </w:t>
      </w:r>
      <w:r w:rsidR="0037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E0C05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>755 822,</w:t>
      </w:r>
      <w:r w:rsid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0C05"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341" w:rsidRPr="00BE0C05" w:rsidRDefault="00374341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E2" w:rsidRPr="00C5134A" w:rsidRDefault="00541441" w:rsidP="000C30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5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C513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</w:t>
      </w:r>
      <w:r w:rsidRPr="00C513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бюджета 2019</w:t>
      </w:r>
      <w:r w:rsidR="00E807E2" w:rsidRPr="00C513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807E2" w:rsidRPr="00C5134A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прогнозируемый объём доходов бюджета            </w:t>
      </w:r>
      <w:r w:rsidR="002F6F3B" w:rsidRP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2019</w:t>
      </w:r>
      <w:r w:rsidRP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BE0C05" w:rsidRP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>3 502 980,</w:t>
      </w:r>
      <w:r w:rsid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что </w:t>
      </w:r>
      <w:r w:rsidR="002F6F3B" w:rsidRP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на </w:t>
      </w:r>
      <w:r w:rsidR="00C5134A" w:rsidRP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232 680,3 </w:t>
      </w:r>
      <w:r w:rsidR="00C60984" w:rsidRP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C5134A" w:rsidRP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206F4B" w:rsidRP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объёма доходов, утвержденного решением Думы Ханты-Мансийского района                                от </w:t>
      </w:r>
      <w:r w:rsidR="002F6F3B" w:rsidRPr="00C5134A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07.12.2018 № 375</w:t>
      </w:r>
      <w:r w:rsidRPr="00C5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r w:rsidR="002F6F3B" w:rsidRPr="00C5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на 2019 год и плановый период 2020 и 2021</w:t>
      </w:r>
      <w:r w:rsidRPr="00C5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C5134A" w:rsidRPr="00C5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</w:t>
      </w:r>
      <w:r w:rsidR="00374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="00C5134A" w:rsidRPr="00C5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20.02.2019</w:t>
      </w:r>
      <w:r w:rsidR="005B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134A" w:rsidRPr="00C5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440)</w:t>
      </w:r>
      <w:r w:rsidRPr="00C5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5134A" w:rsidRPr="00C368AB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Доходная часть бюджета </w:t>
      </w:r>
      <w:r w:rsidR="00206F4B" w:rsidRPr="00C36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на 2019</w:t>
      </w:r>
      <w:r w:rsidRPr="00C36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                в целом у</w:t>
      </w:r>
      <w:r w:rsidR="00DA00C1" w:rsidRPr="00C36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величивается  </w:t>
      </w:r>
      <w:r w:rsidRPr="00C36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5134A" w:rsidRPr="00C36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232 680,</w:t>
      </w:r>
      <w:r w:rsidR="005B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36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</w:t>
      </w:r>
      <w:r w:rsidR="00C5134A" w:rsidRPr="00C36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рублей, в том числе за счет </w:t>
      </w:r>
      <w:r w:rsidR="00F134BA" w:rsidRPr="00C368AB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="00C5134A" w:rsidRPr="00C368AB">
        <w:rPr>
          <w:rFonts w:ascii="Times New Roman" w:eastAsia="Calibri" w:hAnsi="Times New Roman" w:cs="Times New Roman"/>
          <w:sz w:val="28"/>
          <w:szCs w:val="28"/>
        </w:rPr>
        <w:t>безвозмездных поступлений:</w:t>
      </w:r>
    </w:p>
    <w:p w:rsidR="00C5134A" w:rsidRPr="00C368AB" w:rsidRDefault="00C5134A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AB">
        <w:rPr>
          <w:rFonts w:ascii="Times New Roman" w:eastAsia="Calibri" w:hAnsi="Times New Roman" w:cs="Times New Roman"/>
          <w:sz w:val="28"/>
          <w:szCs w:val="28"/>
        </w:rPr>
        <w:t>1) увеличения дотации из бюджета Ханты-Мансийского автономного округа – Югры на поддержку мер по обеспечению сбалансированности бюджетов на 9 448,2 тыс. рублей;</w:t>
      </w:r>
    </w:p>
    <w:p w:rsidR="00E57648" w:rsidRPr="00C368AB" w:rsidRDefault="00C5134A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A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F134BA" w:rsidRPr="00C368AB">
        <w:rPr>
          <w:rFonts w:ascii="Times New Roman" w:eastAsia="Calibri" w:hAnsi="Times New Roman" w:cs="Times New Roman"/>
          <w:sz w:val="28"/>
          <w:szCs w:val="28"/>
        </w:rPr>
        <w:t xml:space="preserve">увеличения субсидий, субвенций из бюджета Ханты-Мансийского автономного округа – Югры на выполнение передаваемых полномочий </w:t>
      </w:r>
      <w:r w:rsidR="004D19CB" w:rsidRPr="00C368AB">
        <w:rPr>
          <w:rFonts w:ascii="Times New Roman" w:eastAsia="Calibri" w:hAnsi="Times New Roman" w:cs="Times New Roman"/>
          <w:sz w:val="28"/>
          <w:szCs w:val="28"/>
        </w:rPr>
        <w:t xml:space="preserve">субъектов Российской Федерации </w:t>
      </w:r>
      <w:r w:rsidR="00E57648" w:rsidRPr="00C368A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368AB">
        <w:rPr>
          <w:rFonts w:ascii="Times New Roman" w:eastAsia="Calibri" w:hAnsi="Times New Roman" w:cs="Times New Roman"/>
          <w:sz w:val="28"/>
          <w:szCs w:val="28"/>
        </w:rPr>
        <w:t>201 144,</w:t>
      </w:r>
      <w:r w:rsidR="005B6379">
        <w:rPr>
          <w:rFonts w:ascii="Times New Roman" w:eastAsia="Calibri" w:hAnsi="Times New Roman" w:cs="Times New Roman"/>
          <w:sz w:val="28"/>
          <w:szCs w:val="28"/>
        </w:rPr>
        <w:t>4</w:t>
      </w:r>
      <w:r w:rsidR="00E57648" w:rsidRPr="00C368AB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E57648" w:rsidRPr="008976CB" w:rsidRDefault="00C368AB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76CB">
        <w:rPr>
          <w:rFonts w:ascii="Times New Roman" w:eastAsia="Calibri" w:hAnsi="Times New Roman" w:cs="Times New Roman"/>
          <w:sz w:val="28"/>
          <w:szCs w:val="28"/>
        </w:rPr>
        <w:t>3</w:t>
      </w:r>
      <w:r w:rsidR="00581A5A" w:rsidRPr="008976C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134BA" w:rsidRPr="008976CB">
        <w:rPr>
          <w:rFonts w:ascii="Times New Roman" w:eastAsia="Calibri" w:hAnsi="Times New Roman" w:cs="Times New Roman"/>
          <w:sz w:val="28"/>
          <w:szCs w:val="28"/>
        </w:rPr>
        <w:t xml:space="preserve">увеличения иных межбюджетных трансфертов </w:t>
      </w:r>
      <w:r w:rsidR="00782501" w:rsidRPr="008976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F134BA" w:rsidRPr="008976C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976CB">
        <w:rPr>
          <w:rFonts w:ascii="Times New Roman" w:eastAsia="Calibri" w:hAnsi="Times New Roman" w:cs="Times New Roman"/>
          <w:sz w:val="28"/>
          <w:szCs w:val="28"/>
        </w:rPr>
        <w:t>5 087,7</w:t>
      </w:r>
      <w:r w:rsidR="00F134BA" w:rsidRPr="008976CB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</w:t>
      </w:r>
      <w:r w:rsidR="004D19CB" w:rsidRPr="008976CB">
        <w:rPr>
          <w:rFonts w:ascii="Times New Roman" w:eastAsia="Calibri" w:hAnsi="Times New Roman" w:cs="Times New Roman"/>
          <w:sz w:val="28"/>
          <w:szCs w:val="28"/>
        </w:rPr>
        <w:t>:</w:t>
      </w:r>
      <w:r w:rsidR="00F134BA" w:rsidRPr="008976CB">
        <w:rPr>
          <w:rFonts w:ascii="Times New Roman" w:eastAsia="Calibri" w:hAnsi="Times New Roman" w:cs="Times New Roman"/>
          <w:sz w:val="28"/>
          <w:szCs w:val="28"/>
        </w:rPr>
        <w:t xml:space="preserve"> из бюджета Ханты-Мансийского автономного округа – Югры на выполнение передаваемых полномочий </w:t>
      </w:r>
      <w:r w:rsidR="00F134BA" w:rsidRPr="008976CB">
        <w:rPr>
          <w:rFonts w:ascii="Times New Roman" w:eastAsia="Calibri" w:hAnsi="Times New Roman" w:cs="Times New Roman"/>
          <w:sz w:val="28"/>
          <w:szCs w:val="28"/>
        </w:rPr>
        <w:lastRenderedPageBreak/>
        <w:t>субъектов Российской Федерации на 3</w:t>
      </w:r>
      <w:r w:rsidRPr="008976CB">
        <w:rPr>
          <w:rFonts w:ascii="Times New Roman" w:eastAsia="Calibri" w:hAnsi="Times New Roman" w:cs="Times New Roman"/>
          <w:sz w:val="28"/>
          <w:szCs w:val="28"/>
        </w:rPr>
        <w:t xml:space="preserve"> 021,0 </w:t>
      </w:r>
      <w:r w:rsidR="00F134BA" w:rsidRPr="008976CB">
        <w:rPr>
          <w:rFonts w:ascii="Times New Roman" w:eastAsia="Calibri" w:hAnsi="Times New Roman" w:cs="Times New Roman"/>
          <w:sz w:val="28"/>
          <w:szCs w:val="28"/>
        </w:rPr>
        <w:t xml:space="preserve">тыс. рублей, из бюджетов сельских поселений на осуществление части полномочий по решению вопросов местного значения </w:t>
      </w:r>
      <w:r w:rsidRPr="008976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заключенным дополнительным соглашением с сельским поселением Выкатной на сумму 2 066,7 </w:t>
      </w:r>
      <w:r w:rsidR="00F134BA" w:rsidRPr="008976CB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  <w:proofErr w:type="gramEnd"/>
    </w:p>
    <w:p w:rsidR="00C368AB" w:rsidRPr="008976CB" w:rsidRDefault="00C368AB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6CB">
        <w:rPr>
          <w:rFonts w:ascii="Times New Roman" w:eastAsia="Calibri" w:hAnsi="Times New Roman" w:cs="Times New Roman"/>
          <w:sz w:val="28"/>
          <w:szCs w:val="28"/>
        </w:rPr>
        <w:t>4</w:t>
      </w:r>
      <w:r w:rsidR="00E57648" w:rsidRPr="008976C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134BA" w:rsidRPr="008976CB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Pr="008976CB">
        <w:rPr>
          <w:rFonts w:ascii="Times New Roman" w:eastAsia="Calibri" w:hAnsi="Times New Roman" w:cs="Times New Roman"/>
          <w:sz w:val="28"/>
          <w:szCs w:val="28"/>
        </w:rPr>
        <w:t>прочих безвозмез</w:t>
      </w:r>
      <w:r w:rsidR="008976CB" w:rsidRPr="008976CB">
        <w:rPr>
          <w:rFonts w:ascii="Times New Roman" w:eastAsia="Calibri" w:hAnsi="Times New Roman" w:cs="Times New Roman"/>
          <w:sz w:val="28"/>
          <w:szCs w:val="28"/>
        </w:rPr>
        <w:t>д</w:t>
      </w:r>
      <w:r w:rsidRPr="008976CB">
        <w:rPr>
          <w:rFonts w:ascii="Times New Roman" w:eastAsia="Calibri" w:hAnsi="Times New Roman" w:cs="Times New Roman"/>
          <w:sz w:val="28"/>
          <w:szCs w:val="28"/>
        </w:rPr>
        <w:t>ных поступлений на сумму</w:t>
      </w:r>
      <w:r w:rsidR="005B637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976CB">
        <w:rPr>
          <w:rFonts w:ascii="Times New Roman" w:eastAsia="Calibri" w:hAnsi="Times New Roman" w:cs="Times New Roman"/>
          <w:sz w:val="28"/>
          <w:szCs w:val="28"/>
        </w:rPr>
        <w:t xml:space="preserve"> 17 000,0 тыс. рублей, из них: </w:t>
      </w:r>
    </w:p>
    <w:p w:rsidR="00713D90" w:rsidRPr="008976CB" w:rsidRDefault="00C368AB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6CB">
        <w:rPr>
          <w:rFonts w:ascii="Times New Roman" w:eastAsia="Calibri" w:hAnsi="Times New Roman" w:cs="Times New Roman"/>
          <w:sz w:val="28"/>
          <w:szCs w:val="28"/>
        </w:rPr>
        <w:t xml:space="preserve">10 000,0 тыс. рублей от ПАО «Лукойл-Западная Сибирь» </w:t>
      </w:r>
      <w:r w:rsidR="005B6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8976CB">
        <w:rPr>
          <w:rFonts w:ascii="Times New Roman" w:eastAsia="Calibri" w:hAnsi="Times New Roman" w:cs="Times New Roman"/>
          <w:sz w:val="28"/>
          <w:szCs w:val="28"/>
        </w:rPr>
        <w:t>по соглашению о сотрудничестве с</w:t>
      </w:r>
      <w:r w:rsidR="00374341">
        <w:rPr>
          <w:rFonts w:ascii="Times New Roman" w:eastAsia="Calibri" w:hAnsi="Times New Roman" w:cs="Times New Roman"/>
          <w:sz w:val="28"/>
          <w:szCs w:val="28"/>
        </w:rPr>
        <w:t xml:space="preserve"> Правительством Ханты-М</w:t>
      </w:r>
      <w:r w:rsidR="00713D90" w:rsidRPr="008976CB">
        <w:rPr>
          <w:rFonts w:ascii="Times New Roman" w:eastAsia="Calibri" w:hAnsi="Times New Roman" w:cs="Times New Roman"/>
          <w:sz w:val="28"/>
          <w:szCs w:val="28"/>
        </w:rPr>
        <w:t>ансийского автономного округа – Югры  от 29.01.2019 № 1910035;</w:t>
      </w:r>
    </w:p>
    <w:p w:rsidR="008976CB" w:rsidRPr="008976CB" w:rsidRDefault="00713D90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6CB">
        <w:rPr>
          <w:rFonts w:ascii="Times New Roman" w:eastAsia="Calibri" w:hAnsi="Times New Roman" w:cs="Times New Roman"/>
          <w:sz w:val="28"/>
          <w:szCs w:val="28"/>
        </w:rPr>
        <w:t>4 000,0</w:t>
      </w:r>
      <w:r w:rsidR="00C368AB" w:rsidRPr="00897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6CB">
        <w:rPr>
          <w:rFonts w:ascii="Times New Roman" w:eastAsia="Calibri" w:hAnsi="Times New Roman" w:cs="Times New Roman"/>
          <w:sz w:val="28"/>
          <w:szCs w:val="28"/>
        </w:rPr>
        <w:t>тыс. рублей от ПАО НК «</w:t>
      </w:r>
      <w:proofErr w:type="spellStart"/>
      <w:r w:rsidRPr="008976CB">
        <w:rPr>
          <w:rFonts w:ascii="Times New Roman" w:eastAsia="Calibri" w:hAnsi="Times New Roman" w:cs="Times New Roman"/>
          <w:sz w:val="28"/>
          <w:szCs w:val="28"/>
        </w:rPr>
        <w:t>РуссНефть</w:t>
      </w:r>
      <w:proofErr w:type="spellEnd"/>
      <w:r w:rsidRPr="008976CB">
        <w:rPr>
          <w:rFonts w:ascii="Times New Roman" w:eastAsia="Calibri" w:hAnsi="Times New Roman" w:cs="Times New Roman"/>
          <w:sz w:val="28"/>
          <w:szCs w:val="28"/>
        </w:rPr>
        <w:t>» в рамках дополнительного соглашения</w:t>
      </w:r>
      <w:r w:rsidR="00374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6CB" w:rsidRPr="008976CB">
        <w:rPr>
          <w:rFonts w:ascii="Times New Roman" w:eastAsia="Calibri" w:hAnsi="Times New Roman" w:cs="Times New Roman"/>
          <w:sz w:val="28"/>
          <w:szCs w:val="28"/>
        </w:rPr>
        <w:t xml:space="preserve">№ 3 от 18.02.2019 к договору </w:t>
      </w:r>
      <w:r w:rsidR="005B6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8976CB" w:rsidRPr="008976CB">
        <w:rPr>
          <w:rFonts w:ascii="Times New Roman" w:eastAsia="Calibri" w:hAnsi="Times New Roman" w:cs="Times New Roman"/>
          <w:sz w:val="28"/>
          <w:szCs w:val="28"/>
        </w:rPr>
        <w:t>№ 33960-50/17-73 от 20.03.2017;</w:t>
      </w:r>
    </w:p>
    <w:p w:rsidR="008976CB" w:rsidRPr="008976CB" w:rsidRDefault="008976CB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6CB">
        <w:rPr>
          <w:rFonts w:ascii="Times New Roman" w:eastAsia="Calibri" w:hAnsi="Times New Roman" w:cs="Times New Roman"/>
          <w:sz w:val="28"/>
          <w:szCs w:val="28"/>
        </w:rPr>
        <w:t>3 000,0 тыс. рублей</w:t>
      </w:r>
      <w:r w:rsidR="00713D90" w:rsidRPr="00897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6CB">
        <w:rPr>
          <w:rFonts w:ascii="Times New Roman" w:eastAsia="Calibri" w:hAnsi="Times New Roman" w:cs="Times New Roman"/>
          <w:sz w:val="28"/>
          <w:szCs w:val="28"/>
        </w:rPr>
        <w:t>от ОАО «Сургутнефтегаз» по дополнительному соглашению № 23 от 19.03.2019 в рамках соглашения № 677 от 04.</w:t>
      </w:r>
      <w:r w:rsidR="005B6379">
        <w:rPr>
          <w:rFonts w:ascii="Times New Roman" w:eastAsia="Calibri" w:hAnsi="Times New Roman" w:cs="Times New Roman"/>
          <w:sz w:val="28"/>
          <w:szCs w:val="28"/>
        </w:rPr>
        <w:t>06.2002</w:t>
      </w:r>
      <w:r w:rsidRPr="008976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6CB" w:rsidRPr="008976CB" w:rsidRDefault="008976CB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7E2" w:rsidRPr="00B96155" w:rsidRDefault="00E95E56" w:rsidP="000C30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1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B961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B961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ние расходной части бюджета 2019</w:t>
      </w:r>
      <w:r w:rsidR="00E807E2" w:rsidRPr="00B961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807E2" w:rsidRPr="00B96155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решения предлагается утвердить расходы бюджета                     </w:t>
      </w:r>
      <w:r w:rsidR="00E95E56"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на 2019</w:t>
      </w:r>
      <w:r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B96155"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4 258 802,5</w:t>
      </w:r>
      <w:r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</w:t>
      </w:r>
      <w:r w:rsidR="00E95E56"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96155"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230 680,3</w:t>
      </w:r>
      <w:r w:rsidR="00E95E56" w:rsidRPr="00B9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B96155" w:rsidRPr="00B96155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6564F8" w:rsidRPr="00B9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выше показателя, утвержденного решением Думы Ханты-Мансийского района                                                             от </w:t>
      </w:r>
      <w:r w:rsidR="006564F8"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07.12.2018</w:t>
      </w:r>
      <w:r w:rsidR="004D19CB"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  <w:r w:rsidR="006564F8"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r w:rsidR="006564F8"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на 2019</w:t>
      </w:r>
      <w:r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6564F8"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и плановый период 2020 и 2021</w:t>
      </w:r>
      <w:r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B96155"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20.02.2019 № 440)</w:t>
      </w:r>
      <w:r w:rsidRPr="00B9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74341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155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изменений, вносимых в расходную часть бю</w:t>
      </w:r>
      <w:r w:rsidR="006564F8" w:rsidRPr="00B96155">
        <w:rPr>
          <w:rFonts w:ascii="Times New Roman" w:eastAsia="Calibri" w:hAnsi="Times New Roman" w:cs="Times New Roman"/>
          <w:sz w:val="28"/>
          <w:szCs w:val="28"/>
          <w:lang w:eastAsia="ru-RU"/>
        </w:rPr>
        <w:t>джета района             на 2019</w:t>
      </w:r>
      <w:r w:rsidRPr="00B96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в Таблице 2.</w:t>
      </w:r>
    </w:p>
    <w:p w:rsidR="000C30DB" w:rsidRDefault="000C30DB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30DB" w:rsidRDefault="000C30DB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30DB" w:rsidRDefault="000C30DB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7E2" w:rsidRPr="00433BB0" w:rsidRDefault="00AE4D49" w:rsidP="003743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807E2" w:rsidRPr="00433BB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2</w:t>
      </w:r>
    </w:p>
    <w:p w:rsidR="00E807E2" w:rsidRPr="00433BB0" w:rsidRDefault="00E807E2" w:rsidP="003743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3BB0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a5"/>
        <w:tblW w:w="4904" w:type="pct"/>
        <w:jc w:val="center"/>
        <w:tblLook w:val="04A0" w:firstRow="1" w:lastRow="0" w:firstColumn="1" w:lastColumn="0" w:noHBand="0" w:noVBand="1"/>
      </w:tblPr>
      <w:tblGrid>
        <w:gridCol w:w="3579"/>
        <w:gridCol w:w="2252"/>
        <w:gridCol w:w="1077"/>
        <w:gridCol w:w="1000"/>
        <w:gridCol w:w="1201"/>
      </w:tblGrid>
      <w:tr w:rsidR="00E807E2" w:rsidRPr="00433BB0" w:rsidTr="00732CFF">
        <w:trPr>
          <w:trHeight w:val="441"/>
          <w:jc w:val="center"/>
        </w:trPr>
        <w:tc>
          <w:tcPr>
            <w:tcW w:w="1965" w:type="pct"/>
            <w:vMerge w:val="restart"/>
            <w:vAlign w:val="center"/>
            <w:hideMark/>
          </w:tcPr>
          <w:p w:rsidR="00E807E2" w:rsidRPr="00486919" w:rsidRDefault="00E807E2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6A5EC3" w:rsidRPr="00486919" w:rsidRDefault="006A5EC3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2CFF" w:rsidRDefault="00433BB0" w:rsidP="00732C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07.12.2018 № 375 </w:t>
            </w:r>
          </w:p>
          <w:p w:rsidR="006A5EC3" w:rsidRPr="00486919" w:rsidRDefault="00732CFF" w:rsidP="00732C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(в ред. от 20.02.2019 </w:t>
            </w:r>
            <w:r w:rsidR="00433BB0" w:rsidRPr="0048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440)</w:t>
            </w:r>
          </w:p>
        </w:tc>
        <w:tc>
          <w:tcPr>
            <w:tcW w:w="591" w:type="pct"/>
            <w:vMerge w:val="restart"/>
            <w:vAlign w:val="center"/>
            <w:hideMark/>
          </w:tcPr>
          <w:p w:rsidR="00E807E2" w:rsidRPr="00486919" w:rsidRDefault="00E807E2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208" w:type="pct"/>
            <w:gridSpan w:val="2"/>
            <w:noWrap/>
            <w:vAlign w:val="center"/>
            <w:hideMark/>
          </w:tcPr>
          <w:p w:rsidR="00E807E2" w:rsidRPr="00486919" w:rsidRDefault="004D19CB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E807E2" w:rsidRPr="00433BB0" w:rsidTr="00732CFF">
        <w:trPr>
          <w:trHeight w:val="604"/>
          <w:jc w:val="center"/>
        </w:trPr>
        <w:tc>
          <w:tcPr>
            <w:tcW w:w="1965" w:type="pct"/>
            <w:vMerge/>
            <w:vAlign w:val="center"/>
            <w:hideMark/>
          </w:tcPr>
          <w:p w:rsidR="00E807E2" w:rsidRPr="00486919" w:rsidRDefault="00E807E2" w:rsidP="00486919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E807E2" w:rsidRPr="00486919" w:rsidRDefault="00E807E2" w:rsidP="00486919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E807E2" w:rsidRPr="00486919" w:rsidRDefault="00E807E2" w:rsidP="00486919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vAlign w:val="center"/>
            <w:hideMark/>
          </w:tcPr>
          <w:p w:rsidR="00E807E2" w:rsidRPr="00486919" w:rsidRDefault="00E807E2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807E2" w:rsidRPr="00486919" w:rsidRDefault="00E807E2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  <w:p w:rsidR="00E807E2" w:rsidRPr="00486919" w:rsidRDefault="00E807E2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Align w:val="center"/>
            <w:hideMark/>
          </w:tcPr>
          <w:p w:rsidR="00E807E2" w:rsidRPr="00486919" w:rsidRDefault="00E807E2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%</w:t>
            </w:r>
          </w:p>
        </w:tc>
      </w:tr>
      <w:tr w:rsidR="00E807E2" w:rsidRPr="00433BB0" w:rsidTr="00732CFF">
        <w:trPr>
          <w:trHeight w:val="161"/>
          <w:jc w:val="center"/>
        </w:trPr>
        <w:tc>
          <w:tcPr>
            <w:tcW w:w="1965" w:type="pct"/>
            <w:vAlign w:val="center"/>
          </w:tcPr>
          <w:p w:rsidR="00E807E2" w:rsidRPr="00486919" w:rsidRDefault="00E807E2" w:rsidP="0048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6" w:type="pct"/>
            <w:noWrap/>
            <w:vAlign w:val="center"/>
          </w:tcPr>
          <w:p w:rsidR="00E807E2" w:rsidRPr="00486919" w:rsidRDefault="00E807E2" w:rsidP="0048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pct"/>
            <w:noWrap/>
            <w:vAlign w:val="center"/>
          </w:tcPr>
          <w:p w:rsidR="00E807E2" w:rsidRPr="00486919" w:rsidRDefault="00E807E2" w:rsidP="0048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9" w:type="pct"/>
            <w:noWrap/>
            <w:vAlign w:val="center"/>
          </w:tcPr>
          <w:p w:rsidR="00E807E2" w:rsidRPr="00486919" w:rsidRDefault="004D19CB" w:rsidP="0048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9" w:type="pct"/>
            <w:noWrap/>
            <w:vAlign w:val="center"/>
          </w:tcPr>
          <w:p w:rsidR="00E807E2" w:rsidRPr="00486919" w:rsidRDefault="004D19CB" w:rsidP="0048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96155" w:rsidRPr="00433BB0" w:rsidTr="00732CFF">
        <w:trPr>
          <w:trHeight w:val="249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360 462,5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331 772,1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-28 690,4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-8,0</w:t>
            </w:r>
          </w:p>
        </w:tc>
      </w:tr>
      <w:tr w:rsidR="00B96155" w:rsidRPr="00433BB0" w:rsidTr="00732CFF">
        <w:trPr>
          <w:trHeight w:val="281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6155" w:rsidRPr="00433BB0" w:rsidTr="00732CFF">
        <w:trPr>
          <w:trHeight w:val="553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50 317,8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50 317,8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6155" w:rsidRPr="00433BB0" w:rsidTr="00732CFF">
        <w:trPr>
          <w:trHeight w:val="279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372 599,9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382 957,9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10 358,0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B96155" w:rsidRPr="00433BB0" w:rsidTr="00732CFF">
        <w:trPr>
          <w:trHeight w:val="269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624 568,9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811 388,9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186 820,0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</w:tr>
      <w:tr w:rsidR="00B96155" w:rsidRPr="00433BB0" w:rsidTr="00732CFF">
        <w:trPr>
          <w:trHeight w:val="272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27 281,2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27 289,5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B96155" w:rsidRPr="00433BB0" w:rsidTr="00732CFF">
        <w:trPr>
          <w:trHeight w:val="277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1 819 127,0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1 873 431,5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54 304,5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B96155" w:rsidRPr="00433BB0" w:rsidTr="00732CFF">
        <w:trPr>
          <w:trHeight w:val="407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343 769,9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349 955,2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6 185,3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B96155" w:rsidRPr="00433BB0" w:rsidTr="00732CFF">
        <w:trPr>
          <w:trHeight w:val="413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6155" w:rsidRPr="00433BB0" w:rsidTr="00732CFF">
        <w:trPr>
          <w:trHeight w:val="418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78 414,0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80 108,6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1 694,6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B96155" w:rsidRPr="00433BB0" w:rsidTr="00732CFF">
        <w:trPr>
          <w:trHeight w:val="424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16 023,5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16 023,5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6155" w:rsidRPr="00433BB0" w:rsidTr="00732CFF">
        <w:trPr>
          <w:trHeight w:val="417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10 601,4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10 601,4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6155" w:rsidRPr="00433BB0" w:rsidTr="00732CFF">
        <w:trPr>
          <w:trHeight w:val="425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6155" w:rsidRPr="00433BB0" w:rsidTr="00732CFF">
        <w:trPr>
          <w:trHeight w:val="690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317 337,0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317 337,0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96155" w:rsidRPr="00433BB0" w:rsidTr="00732CFF">
        <w:trPr>
          <w:trHeight w:val="292"/>
          <w:jc w:val="center"/>
        </w:trPr>
        <w:tc>
          <w:tcPr>
            <w:tcW w:w="1965" w:type="pct"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1236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4 028 122,2</w:t>
            </w:r>
          </w:p>
        </w:tc>
        <w:tc>
          <w:tcPr>
            <w:tcW w:w="591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4 258 802,5</w:t>
            </w:r>
          </w:p>
        </w:tc>
        <w:tc>
          <w:tcPr>
            <w:tcW w:w="54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230 680,3</w:t>
            </w:r>
          </w:p>
        </w:tc>
        <w:tc>
          <w:tcPr>
            <w:tcW w:w="659" w:type="pct"/>
            <w:noWrap/>
            <w:vAlign w:val="center"/>
            <w:hideMark/>
          </w:tcPr>
          <w:p w:rsidR="00B96155" w:rsidRPr="00486919" w:rsidRDefault="00B9615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</w:tbl>
    <w:p w:rsidR="000C30DB" w:rsidRDefault="000C30DB" w:rsidP="000C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E2" w:rsidRPr="00480224" w:rsidRDefault="00E807E2" w:rsidP="000C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представленным в Таблице 2 значительно планируется увеличить расходы </w:t>
      </w:r>
      <w:r w:rsidR="00433BB0"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«Жилищно-коммунальное хозяйство»</w:t>
      </w:r>
      <w:r w:rsidR="00480224"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33BB0"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29,9 % или 186 820,0 тыс. рублей</w:t>
      </w:r>
      <w:r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BB0" w:rsidRPr="00480224" w:rsidRDefault="00E807E2" w:rsidP="000C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сравнению, с ранее утвержденными показателями</w:t>
      </w:r>
      <w:r w:rsidR="00433BB0"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расходы </w:t>
      </w:r>
      <w:r w:rsidR="00433BB0"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разделам:</w:t>
      </w:r>
    </w:p>
    <w:p w:rsidR="00433BB0" w:rsidRPr="00480224" w:rsidRDefault="00433BB0" w:rsidP="000C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на 3,0</w:t>
      </w:r>
      <w:r w:rsidR="00FB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54 304,5 тыс. рублей;</w:t>
      </w:r>
    </w:p>
    <w:p w:rsidR="00433BB0" w:rsidRPr="00480224" w:rsidRDefault="004E22E9" w:rsidP="000C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2,8 % или 10 358,0 тыс. рублей;</w:t>
      </w:r>
    </w:p>
    <w:p w:rsidR="004E22E9" w:rsidRPr="00480224" w:rsidRDefault="004E22E9" w:rsidP="000C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на 2,2 % или 1 694,6 тыс. рублей;</w:t>
      </w:r>
    </w:p>
    <w:p w:rsidR="004E22E9" w:rsidRPr="0070518F" w:rsidRDefault="004E22E9" w:rsidP="000C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51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кинематография» на 1,8 % или 1 694,6 тыс. рублей</w:t>
      </w:r>
      <w:r w:rsidR="0070518F" w:rsidRPr="00705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518F" w:rsidRPr="0070518F" w:rsidRDefault="0070518F" w:rsidP="000C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«Охрана окружающей среды» на 0,03 % или 8,3 тыс. рублей.</w:t>
      </w:r>
    </w:p>
    <w:p w:rsidR="00E807E2" w:rsidRPr="00D44096" w:rsidRDefault="00E807E2" w:rsidP="000C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разделов классификации расходов бюджета: «Национальная оборона», </w:t>
      </w:r>
      <w:r w:rsidR="0070518F" w:rsidRPr="0070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</w:t>
      </w:r>
      <w:r w:rsid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0518F" w:rsidRPr="0070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правоохранительная деятельность», </w:t>
      </w:r>
      <w:r w:rsidRPr="0070518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«Здравоохранение»,</w:t>
      </w:r>
      <w:r w:rsidR="00080320" w:rsidRPr="0070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320" w:rsidRPr="0070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518F" w:rsidRPr="0070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спорт», «Средства массовой информации»</w:t>
      </w:r>
      <w:r w:rsidR="00080320" w:rsidRPr="0070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0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«Обслуживание государственного и муниципального долга», «Межбюджетные трансферты бюджетам субъектов Российской Федерации и муниципальных </w:t>
      </w:r>
      <w:r w:rsidRPr="00D44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общего характера» остаются на прежнем уровне</w:t>
      </w:r>
      <w:r w:rsidR="000A1AE8" w:rsidRPr="00D44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D44096" w:rsidRDefault="006A54B6" w:rsidP="00FB7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E807E2" w:rsidRPr="00D4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утвержденных показателей </w:t>
      </w:r>
      <w:r w:rsidR="0070518F" w:rsidRPr="00D44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по одному разделу</w:t>
      </w:r>
      <w:r w:rsidR="00E807E2" w:rsidRPr="00D4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</w:t>
      </w:r>
      <w:r w:rsidR="0070518F" w:rsidRPr="00D4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</w:t>
      </w:r>
      <w:r w:rsidR="00D44096" w:rsidRPr="00D4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28 690,4 тыс. рублей или 8,0 %.    </w:t>
      </w:r>
      <w:r w:rsidR="00E807E2" w:rsidRPr="00D4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7E2" w:rsidRPr="00FB3912" w:rsidRDefault="00E807E2" w:rsidP="00FB7E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корректируются бюджетные ассигнования на реализацию муниципальных программ                        Ханты-Мансийского района. В рамках предлагаемых изменений расходы бюджета Ханты-Мансийского района на реализацию мероприятий муниципальных  программ увеличатся на </w:t>
      </w:r>
      <w:r w:rsidR="008E7B32" w:rsidRPr="00FB3912">
        <w:rPr>
          <w:rFonts w:ascii="Times New Roman" w:hAnsi="Times New Roman" w:cs="Times New Roman"/>
          <w:color w:val="000000"/>
          <w:sz w:val="28"/>
          <w:szCs w:val="28"/>
        </w:rPr>
        <w:t>249</w:t>
      </w:r>
      <w:r w:rsidR="00FB7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B32" w:rsidRPr="00FB3912">
        <w:rPr>
          <w:rFonts w:ascii="Times New Roman" w:hAnsi="Times New Roman" w:cs="Times New Roman"/>
          <w:color w:val="000000"/>
          <w:sz w:val="28"/>
          <w:szCs w:val="28"/>
        </w:rPr>
        <w:t>752,1</w:t>
      </w:r>
      <w:r w:rsidRPr="00FB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91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              на </w:t>
      </w:r>
      <w:r w:rsidR="008E7B32" w:rsidRPr="00FB3912">
        <w:rPr>
          <w:rFonts w:ascii="Times New Roman" w:hAnsi="Times New Roman" w:cs="Times New Roman"/>
          <w:color w:val="000000"/>
          <w:sz w:val="28"/>
          <w:szCs w:val="28"/>
        </w:rPr>
        <w:t>6,4</w:t>
      </w:r>
      <w:r w:rsidRPr="00FB3912">
        <w:rPr>
          <w:rFonts w:ascii="Times New Roman" w:hAnsi="Times New Roman" w:cs="Times New Roman"/>
          <w:color w:val="000000"/>
          <w:sz w:val="28"/>
          <w:szCs w:val="28"/>
        </w:rPr>
        <w:t xml:space="preserve"> % от утверж</w:t>
      </w:r>
      <w:r w:rsidR="000A1AE8" w:rsidRPr="00FB3912">
        <w:rPr>
          <w:rFonts w:ascii="Times New Roman" w:hAnsi="Times New Roman" w:cs="Times New Roman"/>
          <w:color w:val="000000"/>
          <w:sz w:val="28"/>
          <w:szCs w:val="28"/>
        </w:rPr>
        <w:t xml:space="preserve">денного показателя, и составят                                                    - </w:t>
      </w:r>
      <w:r w:rsidR="00FB3912" w:rsidRPr="00FB3912">
        <w:rPr>
          <w:rFonts w:ascii="Times New Roman" w:hAnsi="Times New Roman" w:cs="Times New Roman"/>
          <w:color w:val="000000"/>
          <w:sz w:val="28"/>
          <w:szCs w:val="28"/>
        </w:rPr>
        <w:t>4 131 395,5</w:t>
      </w:r>
      <w:r w:rsidRPr="00FB39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807E2" w:rsidRPr="00FB3912" w:rsidRDefault="00E807E2" w:rsidP="00FB7E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3912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изменения финансирования муниципальных программ представлен в Таблице 3</w:t>
      </w:r>
      <w:r w:rsidR="00C52488" w:rsidRPr="00FB39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6CAD" w:rsidRPr="00FB3912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91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3</w:t>
      </w:r>
    </w:p>
    <w:p w:rsidR="00E807E2" w:rsidRPr="00FB3912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39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07E2" w:rsidRPr="00FB3912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68"/>
        <w:gridCol w:w="4083"/>
        <w:gridCol w:w="1843"/>
        <w:gridCol w:w="1061"/>
        <w:gridCol w:w="912"/>
        <w:gridCol w:w="691"/>
        <w:gridCol w:w="222"/>
      </w:tblGrid>
      <w:tr w:rsidR="00FB3912" w:rsidRPr="00FB3912" w:rsidTr="00FB7EEE">
        <w:trPr>
          <w:gridAfter w:val="1"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EEE" w:rsidRDefault="00E807E2" w:rsidP="00FB7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Решение Думы </w:t>
            </w:r>
            <w:r w:rsidR="00671DDE"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 07</w:t>
            </w: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.12.201</w:t>
            </w:r>
            <w:r w:rsidR="00671DDE"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8 № 375</w:t>
            </w:r>
            <w:r w:rsidR="00FB3912"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E807E2" w:rsidRPr="00AE4D49" w:rsidRDefault="00FB3912" w:rsidP="00FB7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(в ред.</w:t>
            </w:r>
            <w:r w:rsidR="00FB7EE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 20.02.2019                     № 440)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0A1AE8" w:rsidP="00D1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FB3912" w:rsidRPr="00FB3912" w:rsidTr="00FB7EEE">
        <w:trPr>
          <w:gridAfter w:val="1"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тыс.</w:t>
            </w:r>
          </w:p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FB3912" w:rsidRPr="00FB3912" w:rsidTr="00FB7EEE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E807E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0A1AE8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AE4D49" w:rsidRDefault="000A1AE8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FB3912" w:rsidRPr="00FB3912" w:rsidTr="00FB7EEE">
        <w:trPr>
          <w:gridAfter w:val="1"/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</w:t>
            </w:r>
            <w:r w:rsidR="00FB7EE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</w:t>
            </w: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1 695 124,4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1 729 330,6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34 206,2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FB3912" w:rsidRPr="00FB3912" w:rsidTr="00FB7EEE">
        <w:trPr>
          <w:gridAfter w:val="1"/>
          <w:trHeight w:val="4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«Формирование доступной среды </w:t>
            </w:r>
            <w:proofErr w:type="gramStart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B3912" w:rsidRPr="00FB3912" w:rsidTr="00FB7EEE">
        <w:trPr>
          <w:gridAfter w:val="1"/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«Культура Ханты-Мансийского района </w:t>
            </w:r>
            <w:r w:rsidR="00FB7EE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</w:t>
            </w: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328 073,8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344 909,2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16 835,4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5,1</w:t>
            </w:r>
          </w:p>
        </w:tc>
      </w:tr>
      <w:tr w:rsidR="00FB3912" w:rsidRPr="00FB3912" w:rsidTr="00FB7EEE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спорта и туризма на территории</w:t>
            </w:r>
            <w:r w:rsidR="00FB7EE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</w:t>
            </w: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108 679,9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108 679,9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B3912" w:rsidRPr="00FB3912" w:rsidTr="00FB7EEE">
        <w:trPr>
          <w:gridAfter w:val="1"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«Содействие занятости населения Ханты-Мансийского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22 142,3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26 763,4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4 621,1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FB3912" w:rsidRPr="00FB3912" w:rsidTr="00FB7EEE">
        <w:trPr>
          <w:gridAfter w:val="1"/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169 734,1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169 734,1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B3912" w:rsidRPr="00FB3912" w:rsidTr="00FB7EEE">
        <w:trPr>
          <w:gridAfter w:val="1"/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«Улучшение жилищных условий жителей Ханты-Мансийского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53 208,6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224 562,1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171 353,5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322,0</w:t>
            </w:r>
          </w:p>
        </w:tc>
      </w:tr>
      <w:tr w:rsidR="00FB3912" w:rsidRPr="00FB3912" w:rsidTr="00FB7EEE">
        <w:trPr>
          <w:gridAfter w:val="1"/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615 381,9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620 743,4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5 361,5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0,9</w:t>
            </w:r>
          </w:p>
        </w:tc>
      </w:tr>
      <w:tr w:rsidR="00FB3912" w:rsidRPr="00FB3912" w:rsidTr="00FB7EEE">
        <w:trPr>
          <w:gridAfter w:val="1"/>
          <w:trHeight w:val="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2 046,0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2 046,0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B3912" w:rsidRPr="00FB3912" w:rsidTr="00FB7EEE">
        <w:trPr>
          <w:gridAfter w:val="1"/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B3912" w:rsidRPr="00FB3912" w:rsidTr="00FB7EEE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«Безопасность жизнедеятельности</w:t>
            </w:r>
            <w:r w:rsidR="00FB7EE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42 286,5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42 286,5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B3912" w:rsidRPr="00FB3912" w:rsidTr="00FB7EEE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экологической безопасности </w:t>
            </w:r>
            <w:r w:rsidR="00FB7EE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</w:t>
            </w: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27 281,2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27 289,5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B3912" w:rsidRPr="00FB3912" w:rsidTr="00FB7EEE">
        <w:trPr>
          <w:gridAfter w:val="1"/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малого и среднего предпринимательства </w:t>
            </w:r>
            <w:r w:rsidR="00FB7EE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</w:t>
            </w: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на территории Ханты-Мансийского района </w:t>
            </w:r>
            <w:r w:rsidR="00FB7EE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6 399,0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6 399,0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B3912" w:rsidRPr="00FB3912" w:rsidTr="00FB7EEE">
        <w:trPr>
          <w:gridAfter w:val="1"/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информационного общества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16 183,0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16 183,0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B3912" w:rsidRPr="00FB3912" w:rsidTr="00FB7EEE">
        <w:trPr>
          <w:gridAfter w:val="1"/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«Комплексное развитие транспортной системы </w:t>
            </w:r>
            <w:r w:rsidR="00FB7EE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на территории Ханты-Мансийского района </w:t>
            </w:r>
            <w:r w:rsidR="00FB7EE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</w:t>
            </w: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41 030,9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43 130,9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5,1</w:t>
            </w:r>
          </w:p>
        </w:tc>
      </w:tr>
      <w:tr w:rsidR="00FB3912" w:rsidRPr="00FB3912" w:rsidTr="00FB7EEE">
        <w:trPr>
          <w:gridAfter w:val="1"/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      </w:r>
            <w:r w:rsidR="00FB7EE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366 494,8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366 785,9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291,1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FB3912" w:rsidRPr="00FB3912" w:rsidTr="00FB7EEE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гражданского общества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B3912" w:rsidRPr="00FB3912" w:rsidTr="00FB7EEE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«Формирование и развитие муниципального имущества Ханты-Мансийского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48 891,6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58 102,7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9 211,1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18,8</w:t>
            </w:r>
          </w:p>
        </w:tc>
      </w:tr>
      <w:tr w:rsidR="00FB3912" w:rsidRPr="00FB3912" w:rsidTr="00FB7EEE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«Ведение землеустройства и рационального использования земельных ресурсов </w:t>
            </w:r>
            <w:r w:rsidR="00FB7EE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</w:t>
            </w: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B3912" w:rsidRPr="00FB3912" w:rsidTr="00FB7EEE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«Молодое поколение Ханты-Мансийского района </w:t>
            </w:r>
            <w:r w:rsidR="00FB7EE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</w:t>
            </w: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86 715,6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87 615,6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FB3912" w:rsidRPr="00FB3912" w:rsidTr="00FB7EEE">
        <w:trPr>
          <w:gridAfter w:val="1"/>
          <w:trHeight w:val="7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«Повышение эффективности муниципального управления Ханты-Мансийского района </w:t>
            </w:r>
            <w:r w:rsidR="00FB7EE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</w:t>
            </w: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233 973,8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238 837,7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4 863,9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</w:tr>
      <w:tr w:rsidR="00FB3912" w:rsidRPr="00FB3912" w:rsidTr="00FB7EEE">
        <w:trPr>
          <w:gridAfter w:val="1"/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14 656,0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14 656,0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32" w:rsidRPr="00AE4D49" w:rsidRDefault="008E7B32" w:rsidP="00D10F2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B3912" w:rsidRPr="00FB3912" w:rsidTr="00FB7EEE">
        <w:trPr>
          <w:trHeight w:val="4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3 881 643,4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4 131 395,5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249 752,1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0" w:type="auto"/>
            <w:vAlign w:val="center"/>
          </w:tcPr>
          <w:p w:rsidR="00BB2B21" w:rsidRPr="00FB3912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B3912" w:rsidRPr="00FB3912" w:rsidTr="00FB7EEE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4 028 122,2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4 258 802,5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230 680,3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vAlign w:val="center"/>
          </w:tcPr>
          <w:p w:rsidR="00BB2B21" w:rsidRPr="00FB3912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B3912" w:rsidRPr="00D10F23" w:rsidTr="00FB7EEE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B2B21" w:rsidRPr="00D10F23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3912" w:rsidRPr="00D10F23" w:rsidTr="00FB7EEE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146 478,8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127 407,0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-19 071,8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21" w:rsidRPr="00AE4D49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D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-13,0</w:t>
            </w:r>
          </w:p>
        </w:tc>
        <w:tc>
          <w:tcPr>
            <w:tcW w:w="0" w:type="auto"/>
            <w:vAlign w:val="center"/>
          </w:tcPr>
          <w:p w:rsidR="00BB2B21" w:rsidRPr="00D10F23" w:rsidRDefault="00BB2B21" w:rsidP="00D1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E807E2" w:rsidRPr="009424B1" w:rsidRDefault="00E807E2" w:rsidP="00E8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28"/>
          <w:highlight w:val="yellow"/>
          <w:lang w:eastAsia="ru-RU"/>
        </w:rPr>
      </w:pPr>
    </w:p>
    <w:p w:rsidR="0022446C" w:rsidRPr="005B7290" w:rsidRDefault="00E807E2" w:rsidP="00FB7E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откорректировать расходы бюджета Ханты-Мансийского района</w:t>
      </w:r>
      <w:r w:rsidR="00FE3150" w:rsidRPr="005B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программам </w:t>
      </w:r>
      <w:r w:rsidRPr="005B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                                    - </w:t>
      </w:r>
      <w:r w:rsidR="00FB3912" w:rsidRPr="005B7290">
        <w:rPr>
          <w:rFonts w:ascii="Times New Roman" w:eastAsia="Times New Roman" w:hAnsi="Times New Roman" w:cs="Times New Roman"/>
          <w:sz w:val="28"/>
          <w:szCs w:val="28"/>
          <w:lang w:eastAsia="ru-RU"/>
        </w:rPr>
        <w:t>249 752,1</w:t>
      </w:r>
      <w:r w:rsidR="002025A5" w:rsidRPr="005B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5B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290" w:rsidRPr="005B72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обусловлено распределением</w:t>
      </w:r>
      <w:r w:rsidRPr="005B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290">
        <w:rPr>
          <w:rFonts w:ascii="Times New Roman" w:eastAsia="Calibri" w:hAnsi="Times New Roman" w:cs="Times New Roman"/>
          <w:sz w:val="28"/>
          <w:szCs w:val="28"/>
        </w:rPr>
        <w:t>межбюджетных трансфертов из бюджета субъекта Российской Федерации в виде субвенций и субсидий</w:t>
      </w:r>
      <w:r w:rsidR="005B7290" w:rsidRPr="005B7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поступлением</w:t>
      </w:r>
      <w:r w:rsidRPr="005B7290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                            из бюджетов друг</w:t>
      </w:r>
      <w:r w:rsidR="005B7290" w:rsidRPr="005B7290">
        <w:rPr>
          <w:rFonts w:ascii="Times New Roman" w:eastAsia="Calibri" w:hAnsi="Times New Roman" w:cs="Times New Roman"/>
          <w:sz w:val="28"/>
          <w:szCs w:val="28"/>
        </w:rPr>
        <w:t>их уровней бюджетной системы РФ,</w:t>
      </w:r>
      <w:r w:rsidR="004703FF" w:rsidRPr="005B7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912" w:rsidRPr="005B7290">
        <w:rPr>
          <w:rFonts w:ascii="Times New Roman" w:eastAsia="Calibri" w:hAnsi="Times New Roman" w:cs="Times New Roman"/>
          <w:sz w:val="28"/>
          <w:szCs w:val="28"/>
        </w:rPr>
        <w:t>перемещени</w:t>
      </w:r>
      <w:r w:rsidR="00FB7EEE" w:rsidRPr="005B7290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5B7290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r w:rsidR="0022446C" w:rsidRPr="005B7290">
        <w:rPr>
          <w:rFonts w:ascii="Times New Roman" w:eastAsia="Calibri" w:hAnsi="Times New Roman" w:cs="Times New Roman"/>
          <w:sz w:val="28"/>
          <w:szCs w:val="28"/>
        </w:rPr>
        <w:t>между мероприятиями и исполнителями муниципальных программ</w:t>
      </w:r>
      <w:r w:rsidR="005B7290" w:rsidRPr="005B729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2446C" w:rsidRPr="005B7290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 w:rsidR="00FB7EEE" w:rsidRPr="005B7290">
        <w:rPr>
          <w:rFonts w:ascii="Times New Roman" w:eastAsia="Calibri" w:hAnsi="Times New Roman" w:cs="Times New Roman"/>
          <w:sz w:val="28"/>
          <w:szCs w:val="28"/>
        </w:rPr>
        <w:t>ем средств</w:t>
      </w:r>
      <w:r w:rsidR="0022446C" w:rsidRPr="005B7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EEE" w:rsidRPr="005B7290">
        <w:rPr>
          <w:rFonts w:ascii="Times New Roman" w:eastAsia="Calibri" w:hAnsi="Times New Roman" w:cs="Times New Roman"/>
          <w:sz w:val="28"/>
          <w:szCs w:val="28"/>
        </w:rPr>
        <w:t>о</w:t>
      </w:r>
      <w:r w:rsidR="0022446C" w:rsidRPr="005B7290">
        <w:rPr>
          <w:rFonts w:ascii="Times New Roman" w:eastAsia="Calibri" w:hAnsi="Times New Roman" w:cs="Times New Roman"/>
          <w:sz w:val="28"/>
          <w:szCs w:val="28"/>
        </w:rPr>
        <w:t>т предприятий</w:t>
      </w:r>
      <w:r w:rsidR="005B7290" w:rsidRPr="005B72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т</w:t>
      </w:r>
      <w:r w:rsidR="0022446C" w:rsidRPr="005B7290">
        <w:rPr>
          <w:rFonts w:ascii="Times New Roman" w:eastAsia="Calibri" w:hAnsi="Times New Roman" w:cs="Times New Roman"/>
          <w:sz w:val="28"/>
          <w:szCs w:val="28"/>
        </w:rPr>
        <w:t>опливно-энергетического комплекса.</w:t>
      </w:r>
      <w:proofErr w:type="gramEnd"/>
    </w:p>
    <w:p w:rsidR="00814D49" w:rsidRPr="005B7290" w:rsidRDefault="004703FF" w:rsidP="00FB7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90">
        <w:rPr>
          <w:rFonts w:ascii="Times New Roman" w:eastAsia="Calibri" w:hAnsi="Times New Roman" w:cs="Times New Roman"/>
          <w:sz w:val="28"/>
          <w:szCs w:val="28"/>
        </w:rPr>
        <w:t>Пр</w:t>
      </w:r>
      <w:r w:rsidR="000501A3" w:rsidRPr="005B7290">
        <w:rPr>
          <w:rFonts w:ascii="Times New Roman" w:eastAsia="Calibri" w:hAnsi="Times New Roman" w:cs="Times New Roman"/>
          <w:sz w:val="28"/>
          <w:szCs w:val="28"/>
        </w:rPr>
        <w:t>едла</w:t>
      </w:r>
      <w:r w:rsidR="0022446C" w:rsidRPr="005B7290">
        <w:rPr>
          <w:rFonts w:ascii="Times New Roman" w:eastAsia="Calibri" w:hAnsi="Times New Roman" w:cs="Times New Roman"/>
          <w:sz w:val="28"/>
          <w:szCs w:val="28"/>
        </w:rPr>
        <w:t>гается увеличение расходов по 11</w:t>
      </w:r>
      <w:r w:rsidR="000501A3" w:rsidRPr="005B7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D49" w:rsidRPr="005B7290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814D49" w:rsidRPr="005B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действующих  муниципальных программ:</w:t>
      </w:r>
    </w:p>
    <w:p w:rsidR="0011709F" w:rsidRPr="005B7290" w:rsidRDefault="0011709F" w:rsidP="00AC5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90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5B729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B7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B7290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B7290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1941A4" w:rsidRPr="005B72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5B7290">
        <w:rPr>
          <w:rFonts w:ascii="Times New Roman" w:eastAsia="Calibri" w:hAnsi="Times New Roman" w:cs="Times New Roman"/>
          <w:sz w:val="28"/>
          <w:szCs w:val="28"/>
        </w:rPr>
        <w:t xml:space="preserve">на 2019-2021 годы» на </w:t>
      </w:r>
      <w:r w:rsidR="004A235A" w:rsidRPr="005B7290">
        <w:rPr>
          <w:rFonts w:ascii="Times New Roman" w:eastAsia="Calibri" w:hAnsi="Times New Roman" w:cs="Times New Roman"/>
          <w:sz w:val="28"/>
          <w:szCs w:val="28"/>
        </w:rPr>
        <w:t>34 206,2</w:t>
      </w:r>
      <w:r w:rsidRPr="005B7290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4A235A" w:rsidRPr="005B7290">
        <w:rPr>
          <w:rFonts w:ascii="Times New Roman" w:eastAsia="Calibri" w:hAnsi="Times New Roman" w:cs="Times New Roman"/>
          <w:sz w:val="28"/>
          <w:szCs w:val="28"/>
        </w:rPr>
        <w:t>2,0</w:t>
      </w:r>
      <w:r w:rsidR="004703FF" w:rsidRPr="005B7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290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11709F" w:rsidRPr="005B7290" w:rsidRDefault="0011709F" w:rsidP="00AC5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90">
        <w:rPr>
          <w:rFonts w:ascii="Times New Roman" w:eastAsia="Calibri" w:hAnsi="Times New Roman" w:cs="Times New Roman"/>
          <w:sz w:val="28"/>
          <w:szCs w:val="28"/>
        </w:rPr>
        <w:t>«Культура Хан</w:t>
      </w:r>
      <w:r w:rsidR="001941A4" w:rsidRPr="005B7290">
        <w:rPr>
          <w:rFonts w:ascii="Times New Roman" w:eastAsia="Calibri" w:hAnsi="Times New Roman" w:cs="Times New Roman"/>
          <w:sz w:val="28"/>
          <w:szCs w:val="28"/>
        </w:rPr>
        <w:t>ты-Мансийского района на 2019-</w:t>
      </w:r>
      <w:r w:rsidRPr="005B7290">
        <w:rPr>
          <w:rFonts w:ascii="Times New Roman" w:eastAsia="Calibri" w:hAnsi="Times New Roman" w:cs="Times New Roman"/>
          <w:sz w:val="28"/>
          <w:szCs w:val="28"/>
        </w:rPr>
        <w:t xml:space="preserve">2021 годы» </w:t>
      </w:r>
      <w:r w:rsidR="001941A4" w:rsidRPr="005B72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B729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A235A" w:rsidRPr="005B7290">
        <w:rPr>
          <w:rFonts w:ascii="Times New Roman" w:eastAsia="Calibri" w:hAnsi="Times New Roman" w:cs="Times New Roman"/>
          <w:sz w:val="28"/>
          <w:szCs w:val="28"/>
        </w:rPr>
        <w:t>16 835,4</w:t>
      </w:r>
      <w:r w:rsidRPr="005B7290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4A235A" w:rsidRPr="005B7290">
        <w:rPr>
          <w:rFonts w:ascii="Times New Roman" w:eastAsia="Calibri" w:hAnsi="Times New Roman" w:cs="Times New Roman"/>
          <w:sz w:val="28"/>
          <w:szCs w:val="28"/>
        </w:rPr>
        <w:t>5,1</w:t>
      </w:r>
      <w:r w:rsidR="004703FF" w:rsidRPr="005B7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290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11709F" w:rsidRDefault="0011709F" w:rsidP="00AC5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90">
        <w:rPr>
          <w:rFonts w:ascii="Times New Roman" w:eastAsia="Calibri" w:hAnsi="Times New Roman" w:cs="Times New Roman"/>
          <w:sz w:val="28"/>
          <w:szCs w:val="28"/>
        </w:rPr>
        <w:t>«Содействие занятости населения Ханты-Мансийского района</w:t>
      </w:r>
      <w:r w:rsidR="001941A4" w:rsidRPr="005B72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B7290">
        <w:rPr>
          <w:rFonts w:ascii="Times New Roman" w:eastAsia="Calibri" w:hAnsi="Times New Roman" w:cs="Times New Roman"/>
          <w:sz w:val="28"/>
          <w:szCs w:val="28"/>
        </w:rPr>
        <w:t xml:space="preserve"> на 2019-2021 годы» на</w:t>
      </w:r>
      <w:r w:rsidR="00155E1E" w:rsidRPr="005B7290">
        <w:rPr>
          <w:rFonts w:ascii="Times New Roman" w:eastAsia="Calibri" w:hAnsi="Times New Roman" w:cs="Times New Roman"/>
          <w:sz w:val="28"/>
          <w:szCs w:val="28"/>
        </w:rPr>
        <w:t xml:space="preserve"> 4 621,1</w:t>
      </w:r>
      <w:r w:rsidRPr="005B729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11599" w:rsidRPr="005B7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290">
        <w:rPr>
          <w:rFonts w:ascii="Times New Roman" w:eastAsia="Calibri" w:hAnsi="Times New Roman" w:cs="Times New Roman"/>
          <w:sz w:val="28"/>
          <w:szCs w:val="28"/>
        </w:rPr>
        <w:t xml:space="preserve">рублей или на </w:t>
      </w:r>
      <w:r w:rsidR="00155E1E" w:rsidRPr="005B7290">
        <w:rPr>
          <w:rFonts w:ascii="Times New Roman" w:eastAsia="Calibri" w:hAnsi="Times New Roman" w:cs="Times New Roman"/>
          <w:sz w:val="28"/>
          <w:szCs w:val="28"/>
        </w:rPr>
        <w:t>20,9</w:t>
      </w:r>
      <w:r w:rsidR="004703FF" w:rsidRPr="005B7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290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155E1E" w:rsidRDefault="00155E1E" w:rsidP="00AC5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E1E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на 2019-2021 годы» на 171 353,6 тыс. рублей или в 3,2 раза</w:t>
      </w:r>
      <w:r w:rsidR="00AA3F1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55E1E">
        <w:rPr>
          <w:rFonts w:ascii="Times New Roman" w:eastAsia="Calibri" w:hAnsi="Times New Roman" w:cs="Times New Roman"/>
          <w:sz w:val="28"/>
          <w:szCs w:val="28"/>
        </w:rPr>
        <w:t xml:space="preserve"> (на 322,0 %);</w:t>
      </w:r>
    </w:p>
    <w:p w:rsidR="0011709F" w:rsidRPr="004A235A" w:rsidRDefault="00594B5B" w:rsidP="00AC5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35A">
        <w:rPr>
          <w:rFonts w:ascii="Times New Roman" w:eastAsia="Calibri" w:hAnsi="Times New Roman" w:cs="Times New Roman"/>
          <w:sz w:val="28"/>
          <w:szCs w:val="28"/>
        </w:rPr>
        <w:t>«Развитие и модернизация жилищно-коммунального комплекса</w:t>
      </w:r>
      <w:r w:rsidR="001941A4" w:rsidRPr="004A235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A235A">
        <w:rPr>
          <w:rFonts w:ascii="Times New Roman" w:eastAsia="Calibri" w:hAnsi="Times New Roman" w:cs="Times New Roman"/>
          <w:sz w:val="28"/>
          <w:szCs w:val="28"/>
        </w:rPr>
        <w:t xml:space="preserve"> и повышение энергетической эффективности </w:t>
      </w:r>
      <w:proofErr w:type="gramStart"/>
      <w:r w:rsidRPr="004A235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A2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235A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A235A">
        <w:rPr>
          <w:rFonts w:ascii="Times New Roman" w:eastAsia="Calibri" w:hAnsi="Times New Roman" w:cs="Times New Roman"/>
          <w:sz w:val="28"/>
          <w:szCs w:val="28"/>
        </w:rPr>
        <w:t xml:space="preserve"> районе на 2019-2024 годы» на </w:t>
      </w:r>
      <w:r w:rsidR="00155E1E">
        <w:rPr>
          <w:rFonts w:ascii="Times New Roman" w:eastAsia="Calibri" w:hAnsi="Times New Roman" w:cs="Times New Roman"/>
          <w:sz w:val="28"/>
          <w:szCs w:val="28"/>
        </w:rPr>
        <w:t>5 361,5</w:t>
      </w:r>
      <w:r w:rsidRPr="004A235A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4A235A" w:rsidRPr="004A235A">
        <w:rPr>
          <w:rFonts w:ascii="Times New Roman" w:eastAsia="Calibri" w:hAnsi="Times New Roman" w:cs="Times New Roman"/>
          <w:sz w:val="28"/>
          <w:szCs w:val="28"/>
        </w:rPr>
        <w:t>0,9</w:t>
      </w:r>
      <w:r w:rsidR="004703FF" w:rsidRPr="004A2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35A">
        <w:rPr>
          <w:rFonts w:ascii="Times New Roman" w:eastAsia="Calibri" w:hAnsi="Times New Roman" w:cs="Times New Roman"/>
          <w:sz w:val="28"/>
          <w:szCs w:val="28"/>
        </w:rPr>
        <w:t>%</w:t>
      </w:r>
      <w:r w:rsidR="00B2484D" w:rsidRPr="004A23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484D" w:rsidRPr="008F3525" w:rsidRDefault="00B2484D" w:rsidP="00AC5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525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на 2019-2021 годы» на </w:t>
      </w:r>
      <w:r w:rsidR="008F3525">
        <w:rPr>
          <w:rFonts w:ascii="Times New Roman" w:eastAsia="Calibri" w:hAnsi="Times New Roman" w:cs="Times New Roman"/>
          <w:sz w:val="28"/>
          <w:szCs w:val="28"/>
        </w:rPr>
        <w:t>8,3</w:t>
      </w:r>
      <w:r w:rsidRPr="008F352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8F3525">
        <w:rPr>
          <w:rFonts w:ascii="Times New Roman" w:eastAsia="Calibri" w:hAnsi="Times New Roman" w:cs="Times New Roman"/>
          <w:sz w:val="28"/>
          <w:szCs w:val="28"/>
        </w:rPr>
        <w:t>0,03</w:t>
      </w:r>
      <w:r w:rsidR="004703FF" w:rsidRPr="008F3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525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11709F" w:rsidRDefault="00B2484D" w:rsidP="00AC5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04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транспортной системы на территории Ханты-Мансийского района на 2019 – 2021 годы» на </w:t>
      </w:r>
      <w:r w:rsidR="00097404" w:rsidRPr="00097404">
        <w:rPr>
          <w:rFonts w:ascii="Times New Roman" w:eastAsia="Calibri" w:hAnsi="Times New Roman" w:cs="Times New Roman"/>
          <w:sz w:val="28"/>
          <w:szCs w:val="28"/>
        </w:rPr>
        <w:t>2 100,0</w:t>
      </w:r>
      <w:r w:rsidRPr="00097404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097404" w:rsidRPr="00097404">
        <w:rPr>
          <w:rFonts w:ascii="Times New Roman" w:eastAsia="Calibri" w:hAnsi="Times New Roman" w:cs="Times New Roman"/>
          <w:sz w:val="28"/>
          <w:szCs w:val="28"/>
        </w:rPr>
        <w:t>5,1</w:t>
      </w:r>
      <w:r w:rsidRPr="00097404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155E1E" w:rsidRDefault="00155E1E" w:rsidP="00AC5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79">
        <w:rPr>
          <w:rFonts w:ascii="Times New Roman" w:eastAsia="Calibri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AA3F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900F79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2019-2021 годы» на 291,1 </w:t>
      </w:r>
      <w:r w:rsidRPr="00097404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900F79">
        <w:rPr>
          <w:rFonts w:ascii="Times New Roman" w:eastAsia="Calibri" w:hAnsi="Times New Roman" w:cs="Times New Roman"/>
          <w:sz w:val="28"/>
          <w:szCs w:val="28"/>
        </w:rPr>
        <w:t>0</w:t>
      </w:r>
      <w:r w:rsidRPr="00097404">
        <w:rPr>
          <w:rFonts w:ascii="Times New Roman" w:eastAsia="Calibri" w:hAnsi="Times New Roman" w:cs="Times New Roman"/>
          <w:sz w:val="28"/>
          <w:szCs w:val="28"/>
        </w:rPr>
        <w:t>,1 %;</w:t>
      </w:r>
    </w:p>
    <w:p w:rsidR="00155E1E" w:rsidRDefault="00900F79" w:rsidP="00AC5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79">
        <w:rPr>
          <w:rFonts w:ascii="Times New Roman" w:eastAsia="Calibri" w:hAnsi="Times New Roman" w:cs="Times New Roman"/>
          <w:sz w:val="28"/>
          <w:szCs w:val="28"/>
        </w:rPr>
        <w:t xml:space="preserve">«Формирование и развитие муниципального имущества </w:t>
      </w:r>
      <w:r w:rsidR="0048691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900F7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2019-2021 годы» на 9 211,1 </w:t>
      </w:r>
      <w:r w:rsidRPr="00097404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AA3F1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>18,8</w:t>
      </w:r>
      <w:r w:rsidRPr="00097404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652867" w:rsidRDefault="000501A3" w:rsidP="00AC5FCF">
      <w:pPr>
        <w:tabs>
          <w:tab w:val="left" w:pos="61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04">
        <w:rPr>
          <w:rFonts w:ascii="Times New Roman" w:eastAsia="Calibri" w:hAnsi="Times New Roman" w:cs="Times New Roman"/>
          <w:sz w:val="28"/>
          <w:szCs w:val="28"/>
        </w:rPr>
        <w:t xml:space="preserve">«Молодое поколение Ханты-Мансийского района </w:t>
      </w:r>
      <w:r w:rsidR="002025A5" w:rsidRPr="000974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097404">
        <w:rPr>
          <w:rFonts w:ascii="Times New Roman" w:eastAsia="Calibri" w:hAnsi="Times New Roman" w:cs="Times New Roman"/>
          <w:sz w:val="28"/>
          <w:szCs w:val="28"/>
        </w:rPr>
        <w:t xml:space="preserve">на 2019 – 2021 годы» на </w:t>
      </w:r>
      <w:r w:rsidR="00097404" w:rsidRPr="00097404">
        <w:rPr>
          <w:rFonts w:ascii="Times New Roman" w:eastAsia="Calibri" w:hAnsi="Times New Roman" w:cs="Times New Roman"/>
          <w:sz w:val="28"/>
          <w:szCs w:val="28"/>
        </w:rPr>
        <w:t>900,0</w:t>
      </w:r>
      <w:r w:rsidRPr="00097404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097404" w:rsidRPr="00097404">
        <w:rPr>
          <w:rFonts w:ascii="Times New Roman" w:eastAsia="Calibri" w:hAnsi="Times New Roman" w:cs="Times New Roman"/>
          <w:sz w:val="28"/>
          <w:szCs w:val="28"/>
        </w:rPr>
        <w:t>1,0</w:t>
      </w:r>
      <w:r w:rsidR="004703FF" w:rsidRPr="00097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404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0501A3" w:rsidRDefault="000501A3" w:rsidP="00AC5FCF">
      <w:pPr>
        <w:tabs>
          <w:tab w:val="left" w:pos="61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«Повышение эффективности муниципального управления </w:t>
      </w:r>
      <w:r w:rsidR="002025A5" w:rsidRPr="0009740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9740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2019-2021 годы» на </w:t>
      </w:r>
      <w:r w:rsidR="00097404" w:rsidRPr="00097404">
        <w:rPr>
          <w:rFonts w:ascii="Times New Roman" w:eastAsia="Calibri" w:hAnsi="Times New Roman" w:cs="Times New Roman"/>
          <w:sz w:val="28"/>
          <w:szCs w:val="28"/>
        </w:rPr>
        <w:t>4 863,9</w:t>
      </w:r>
      <w:r w:rsidRPr="0009740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A3F1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97404">
        <w:rPr>
          <w:rFonts w:ascii="Times New Roman" w:eastAsia="Calibri" w:hAnsi="Times New Roman" w:cs="Times New Roman"/>
          <w:sz w:val="28"/>
          <w:szCs w:val="28"/>
        </w:rPr>
        <w:t xml:space="preserve"> или на </w:t>
      </w:r>
      <w:r w:rsidR="00097404" w:rsidRPr="00097404">
        <w:rPr>
          <w:rFonts w:ascii="Times New Roman" w:eastAsia="Calibri" w:hAnsi="Times New Roman" w:cs="Times New Roman"/>
          <w:sz w:val="28"/>
          <w:szCs w:val="28"/>
        </w:rPr>
        <w:t xml:space="preserve">2,1 </w:t>
      </w:r>
      <w:r w:rsidR="0009740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82D7C" w:rsidRPr="00082D7C" w:rsidRDefault="00AC5FCF" w:rsidP="00AC5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082D7C" w:rsidRPr="00082D7C">
        <w:rPr>
          <w:rFonts w:ascii="Times New Roman" w:eastAsia="Calibri" w:hAnsi="Times New Roman" w:cs="Times New Roman"/>
          <w:sz w:val="28"/>
          <w:szCs w:val="28"/>
        </w:rPr>
        <w:t xml:space="preserve"> расходов по </w:t>
      </w:r>
      <w:r w:rsidR="002D5984">
        <w:rPr>
          <w:rFonts w:ascii="Times New Roman" w:eastAsia="Calibri" w:hAnsi="Times New Roman" w:cs="Times New Roman"/>
          <w:sz w:val="28"/>
          <w:szCs w:val="28"/>
        </w:rPr>
        <w:t xml:space="preserve">остальным </w:t>
      </w:r>
      <w:r w:rsidR="00082D7C" w:rsidRPr="00082D7C">
        <w:rPr>
          <w:rFonts w:ascii="Times New Roman" w:eastAsia="Calibri" w:hAnsi="Times New Roman" w:cs="Times New Roman"/>
          <w:sz w:val="28"/>
          <w:szCs w:val="28"/>
        </w:rPr>
        <w:t>муниципальным программам</w:t>
      </w:r>
      <w:r w:rsidR="00AA3F1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82D7C" w:rsidRPr="00082D7C">
        <w:rPr>
          <w:rFonts w:ascii="Times New Roman" w:eastAsia="Calibri" w:hAnsi="Times New Roman" w:cs="Times New Roman"/>
          <w:sz w:val="28"/>
          <w:szCs w:val="28"/>
        </w:rPr>
        <w:t xml:space="preserve"> не предлагается.</w:t>
      </w:r>
    </w:p>
    <w:p w:rsidR="008A419B" w:rsidRDefault="00E807E2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финансирования непрограммных мероприятий Проектом решения предлагается </w:t>
      </w:r>
      <w:r w:rsidR="00300637"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984"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уменьшить </w:t>
      </w:r>
      <w:r w:rsidR="00300637"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D5984"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19 071,8</w:t>
      </w:r>
      <w:r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671DDE"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2D5984"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13,0</w:t>
      </w:r>
      <w:r w:rsidR="004703FF"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DDE"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 </w:t>
      </w:r>
      <w:r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D5984"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</w:t>
      </w:r>
      <w:r w:rsidR="00300637"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46 478,8</w:t>
      </w:r>
      <w:r w:rsidR="00671DDE"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2D5984"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127 407,0 тыс. рублей, </w:t>
      </w:r>
      <w:r w:rsidR="00671DDE" w:rsidRPr="0096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связано                               с</w:t>
      </w:r>
      <w:r w:rsidR="00F3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возвратом</w:t>
      </w:r>
      <w:r w:rsidR="008A419B" w:rsidRPr="008A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окружной бюджет</w:t>
      </w:r>
      <w:r w:rsidR="0010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муниципальному рай</w:t>
      </w:r>
      <w:r w:rsidR="008A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ону </w:t>
      </w:r>
      <w:r w:rsidR="0048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8A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</w:t>
      </w:r>
      <w:r w:rsidR="0010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районного фонда финансовой поддержки поселений</w:t>
      </w:r>
      <w:r w:rsidR="008A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передачей средств сельским поселениям на организацию деятельности «дворовых площадок»</w:t>
      </w:r>
      <w:r w:rsidR="0058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клубов по месту жительства, </w:t>
      </w:r>
      <w:r w:rsidR="00A9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распределением</w:t>
      </w:r>
      <w:r w:rsidR="0058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аккумулированных </w:t>
      </w:r>
      <w:r w:rsidR="0058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на </w:t>
      </w:r>
      <w:r w:rsidR="00A9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индексацию</w:t>
      </w:r>
      <w:proofErr w:type="gramEnd"/>
      <w:r w:rsidR="00A9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оплаты труда работников бюджетного сектора экономики.</w:t>
      </w:r>
    </w:p>
    <w:p w:rsidR="0036158D" w:rsidRDefault="009D0B63" w:rsidP="00AC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B5764" w:rsidRPr="006B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аспределение бюджетных ассигнований в разрезе главных распорядителей бюджетных средств и муниципальных программ </w:t>
      </w:r>
      <w:r w:rsidR="00AC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B5764" w:rsidRPr="006B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представлено в пояснительной записке          </w:t>
      </w:r>
      <w:r w:rsidR="00A5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9B5764" w:rsidRPr="006B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к П</w:t>
      </w:r>
      <w:r w:rsidR="00F4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роекту решения.</w:t>
      </w:r>
    </w:p>
    <w:p w:rsidR="00250209" w:rsidRPr="0036158D" w:rsidRDefault="009D0B63" w:rsidP="00AC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Контрольно-счетная палата обращает внимание, что </w:t>
      </w:r>
      <w:r w:rsidR="00AC5FCF">
        <w:rPr>
          <w:rFonts w:ascii="Times New Roman" w:hAnsi="Times New Roman" w:cs="Times New Roman"/>
          <w:sz w:val="28"/>
        </w:rPr>
        <w:t xml:space="preserve">                        </w:t>
      </w:r>
      <w:r w:rsidR="00C5049F">
        <w:rPr>
          <w:rFonts w:ascii="Times New Roman" w:hAnsi="Times New Roman" w:cs="Times New Roman"/>
          <w:sz w:val="28"/>
        </w:rPr>
        <w:t xml:space="preserve">финансово-экономические обоснования </w:t>
      </w:r>
      <w:r>
        <w:rPr>
          <w:rFonts w:ascii="Times New Roman" w:hAnsi="Times New Roman" w:cs="Times New Roman"/>
          <w:sz w:val="28"/>
        </w:rPr>
        <w:t xml:space="preserve">предлагаемых </w:t>
      </w:r>
      <w:r w:rsidR="00AC5FCF">
        <w:rPr>
          <w:rFonts w:ascii="Times New Roman" w:hAnsi="Times New Roman" w:cs="Times New Roman"/>
          <w:sz w:val="28"/>
        </w:rPr>
        <w:t xml:space="preserve">изменений                      в части </w:t>
      </w:r>
      <w:r w:rsidR="00C5049F">
        <w:rPr>
          <w:rFonts w:ascii="Times New Roman" w:hAnsi="Times New Roman" w:cs="Times New Roman"/>
          <w:sz w:val="28"/>
        </w:rPr>
        <w:t>расход</w:t>
      </w:r>
      <w:r w:rsidR="00AC5FCF">
        <w:rPr>
          <w:rFonts w:ascii="Times New Roman" w:hAnsi="Times New Roman" w:cs="Times New Roman"/>
          <w:sz w:val="28"/>
        </w:rPr>
        <w:t>ов</w:t>
      </w:r>
      <w:r w:rsidR="00C5049F">
        <w:rPr>
          <w:rFonts w:ascii="Times New Roman" w:hAnsi="Times New Roman" w:cs="Times New Roman"/>
          <w:sz w:val="28"/>
        </w:rPr>
        <w:t xml:space="preserve"> </w:t>
      </w:r>
      <w:r w:rsidR="00A5727E">
        <w:rPr>
          <w:rFonts w:ascii="Times New Roman" w:hAnsi="Times New Roman" w:cs="Times New Roman"/>
          <w:sz w:val="28"/>
        </w:rPr>
        <w:t xml:space="preserve">к пояснительной записке были представлены </w:t>
      </w:r>
      <w:r w:rsidR="00C5049F">
        <w:rPr>
          <w:rFonts w:ascii="Times New Roman" w:hAnsi="Times New Roman" w:cs="Times New Roman"/>
          <w:sz w:val="28"/>
        </w:rPr>
        <w:t xml:space="preserve">только </w:t>
      </w:r>
      <w:r w:rsidR="00AC5FCF">
        <w:rPr>
          <w:rFonts w:ascii="Times New Roman" w:hAnsi="Times New Roman" w:cs="Times New Roman"/>
          <w:sz w:val="28"/>
        </w:rPr>
        <w:t xml:space="preserve">                  </w:t>
      </w:r>
      <w:r w:rsidR="00A5727E">
        <w:rPr>
          <w:rFonts w:ascii="Times New Roman" w:hAnsi="Times New Roman" w:cs="Times New Roman"/>
          <w:sz w:val="28"/>
        </w:rPr>
        <w:t>в процессе формирования заключения</w:t>
      </w:r>
      <w:r w:rsidR="002C3286">
        <w:rPr>
          <w:rFonts w:ascii="Times New Roman" w:hAnsi="Times New Roman" w:cs="Times New Roman"/>
          <w:sz w:val="28"/>
        </w:rPr>
        <w:t>.</w:t>
      </w:r>
      <w:r w:rsidRPr="009D0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27E">
        <w:rPr>
          <w:rFonts w:ascii="Times New Roman" w:eastAsia="Times New Roman" w:hAnsi="Times New Roman" w:cs="Times New Roman"/>
          <w:sz w:val="28"/>
          <w:szCs w:val="28"/>
        </w:rPr>
        <w:t>Часть до</w:t>
      </w:r>
      <w:r w:rsidR="00A5727E">
        <w:rPr>
          <w:rFonts w:ascii="Times New Roman" w:hAnsi="Times New Roman" w:cs="Times New Roman"/>
          <w:sz w:val="28"/>
        </w:rPr>
        <w:t>кументов, предоставленных в ка</w:t>
      </w:r>
      <w:r w:rsidR="002C3286">
        <w:rPr>
          <w:rFonts w:ascii="Times New Roman" w:hAnsi="Times New Roman" w:cs="Times New Roman"/>
          <w:sz w:val="28"/>
        </w:rPr>
        <w:t>честве обоснования предлагаемых</w:t>
      </w:r>
      <w:r w:rsidR="00C5049F">
        <w:rPr>
          <w:rFonts w:ascii="Times New Roman" w:hAnsi="Times New Roman" w:cs="Times New Roman"/>
          <w:sz w:val="28"/>
        </w:rPr>
        <w:t xml:space="preserve"> изменений</w:t>
      </w:r>
      <w:r w:rsidR="002C3286">
        <w:rPr>
          <w:rFonts w:ascii="Times New Roman" w:hAnsi="Times New Roman" w:cs="Times New Roman"/>
          <w:sz w:val="28"/>
        </w:rPr>
        <w:t>,</w:t>
      </w:r>
      <w:r w:rsidR="00A5727E">
        <w:rPr>
          <w:rFonts w:ascii="Times New Roman" w:hAnsi="Times New Roman" w:cs="Times New Roman"/>
          <w:sz w:val="28"/>
        </w:rPr>
        <w:t xml:space="preserve"> содерж</w:t>
      </w:r>
      <w:r w:rsidR="00AC5FCF">
        <w:rPr>
          <w:rFonts w:ascii="Times New Roman" w:hAnsi="Times New Roman" w:cs="Times New Roman"/>
          <w:sz w:val="28"/>
        </w:rPr>
        <w:t>и</w:t>
      </w:r>
      <w:r w:rsidR="00A5727E">
        <w:rPr>
          <w:rFonts w:ascii="Times New Roman" w:hAnsi="Times New Roman" w:cs="Times New Roman"/>
          <w:sz w:val="28"/>
        </w:rPr>
        <w:t xml:space="preserve">т необъективную информацию. Локальные сметные расчеты представлены неутвержденными и </w:t>
      </w:r>
      <w:r w:rsidR="009B3F74">
        <w:rPr>
          <w:rFonts w:ascii="Times New Roman" w:hAnsi="Times New Roman" w:cs="Times New Roman"/>
          <w:sz w:val="28"/>
        </w:rPr>
        <w:t xml:space="preserve">в отсутствие </w:t>
      </w:r>
      <w:r w:rsidR="00A5727E">
        <w:rPr>
          <w:rFonts w:ascii="Times New Roman" w:hAnsi="Times New Roman" w:cs="Times New Roman"/>
          <w:sz w:val="28"/>
        </w:rPr>
        <w:t xml:space="preserve">подписей ответственных </w:t>
      </w:r>
      <w:r w:rsidR="009B3F74">
        <w:rPr>
          <w:rFonts w:ascii="Times New Roman" w:hAnsi="Times New Roman" w:cs="Times New Roman"/>
          <w:sz w:val="28"/>
        </w:rPr>
        <w:t xml:space="preserve">за их составление и проверку </w:t>
      </w:r>
      <w:r w:rsidR="00A5727E">
        <w:rPr>
          <w:rFonts w:ascii="Times New Roman" w:hAnsi="Times New Roman" w:cs="Times New Roman"/>
          <w:sz w:val="28"/>
        </w:rPr>
        <w:t>должностных лиц.</w:t>
      </w:r>
      <w:r w:rsidR="00486919">
        <w:rPr>
          <w:rFonts w:ascii="Times New Roman" w:hAnsi="Times New Roman" w:cs="Times New Roman"/>
          <w:sz w:val="28"/>
        </w:rPr>
        <w:t xml:space="preserve">                     </w:t>
      </w:r>
    </w:p>
    <w:p w:rsidR="00486919" w:rsidRPr="006B77B0" w:rsidRDefault="00486919" w:rsidP="00C5049F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07E2" w:rsidRPr="00D449C9" w:rsidRDefault="00AA4D29" w:rsidP="00AC5FCF">
      <w:pPr>
        <w:spacing w:after="0" w:line="283" w:lineRule="auto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49C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449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D449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Дефицит </w:t>
      </w:r>
      <w:r w:rsidRPr="00D449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бюджета, муниципальный долг 2019</w:t>
      </w:r>
      <w:r w:rsidR="00E807E2" w:rsidRPr="00D449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807E2" w:rsidRPr="00D449C9" w:rsidRDefault="00E807E2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</w:t>
      </w:r>
      <w:r w:rsidRPr="00D44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CF13A5" w:rsidRPr="00D44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D44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CF13A5" w:rsidRPr="00D449C9">
        <w:rPr>
          <w:rFonts w:ascii="Times New Roman" w:eastAsia="Calibri" w:hAnsi="Times New Roman" w:cs="Times New Roman"/>
          <w:sz w:val="28"/>
          <w:szCs w:val="28"/>
          <w:lang w:eastAsia="ru-RU"/>
        </w:rPr>
        <w:t>07.12.2018 № 3</w:t>
      </w:r>
      <w:r w:rsidR="00AA4D29" w:rsidRPr="00D449C9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Pr="00D44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</w:t>
      </w:r>
      <w:r w:rsidR="00AA4D29" w:rsidRPr="00D449C9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2019 год и плановый период 2020 и 2021</w:t>
      </w:r>
      <w:r w:rsidRPr="00D44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="00A96A56" w:rsidRPr="00D44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ред. от 20.02.2019 № 440)</w:t>
      </w:r>
      <w:r w:rsidR="00A96A56" w:rsidRPr="00D449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="00A96A56" w:rsidRPr="00D449C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A96A56" w:rsidRPr="00D44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4D29" w:rsidRPr="00D44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Ханты-Мансийского района утвержден с дефицитом, в размере </w:t>
      </w:r>
      <w:r w:rsidR="00D449C9" w:rsidRPr="00D4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757 822,5</w:t>
      </w:r>
      <w:r w:rsidRPr="00D4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E807E2" w:rsidRPr="00936748" w:rsidRDefault="00E807E2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предлагается утвердить дефицит бюджета                        в размере </w:t>
      </w:r>
      <w:r w:rsidR="00936748" w:rsidRPr="0093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755</w:t>
      </w:r>
      <w:r w:rsidR="00AA4D29" w:rsidRPr="0093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822,5</w:t>
      </w:r>
      <w:r w:rsidRPr="0093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 с </w:t>
      </w:r>
      <w:r w:rsidR="00936748" w:rsidRPr="0093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уменьшением </w:t>
      </w:r>
      <w:r w:rsidRPr="0093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36748" w:rsidRPr="0093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2 000,0</w:t>
      </w:r>
      <w:r w:rsidR="00AA4D29" w:rsidRPr="0093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936748" w:rsidRPr="0093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0,26 %</w:t>
      </w:r>
      <w:r w:rsidRPr="0093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07E2" w:rsidRPr="00546FBC" w:rsidRDefault="00E807E2" w:rsidP="00AC5FC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предлагается изменить объем муниципального внутреннего долга и установить</w:t>
      </w:r>
      <w:r w:rsidR="004769E3" w:rsidRPr="0054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Pr="0054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807E2" w:rsidRPr="00546FBC" w:rsidRDefault="00E807E2" w:rsidP="00AC5FC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46FBC">
        <w:rPr>
          <w:rFonts w:ascii="Times New Roman" w:eastAsia="Calibri" w:hAnsi="Times New Roman" w:cs="Times New Roman"/>
          <w:sz w:val="28"/>
          <w:szCs w:val="28"/>
        </w:rPr>
        <w:t xml:space="preserve">верхний предел муниципального внутреннего долга района       </w:t>
      </w:r>
      <w:r w:rsidR="004769E3" w:rsidRPr="00546FBC">
        <w:rPr>
          <w:rFonts w:ascii="Times New Roman" w:eastAsia="Calibri" w:hAnsi="Times New Roman" w:cs="Times New Roman"/>
          <w:sz w:val="28"/>
          <w:szCs w:val="28"/>
        </w:rPr>
        <w:t xml:space="preserve">                на 1 января 2020 года в сумме</w:t>
      </w:r>
      <w:r w:rsidR="00105F70" w:rsidRPr="00546FBC">
        <w:rPr>
          <w:rFonts w:ascii="Times New Roman" w:eastAsia="Calibri" w:hAnsi="Times New Roman" w:cs="Times New Roman"/>
          <w:sz w:val="28"/>
          <w:szCs w:val="28"/>
        </w:rPr>
        <w:t xml:space="preserve"> 50 264,1 тыс. рублей, </w:t>
      </w:r>
      <w:r w:rsidRPr="00546FBC">
        <w:rPr>
          <w:rFonts w:ascii="Times New Roman" w:eastAsia="Calibri" w:hAnsi="Times New Roman" w:cs="Times New Roman"/>
          <w:sz w:val="28"/>
          <w:szCs w:val="28"/>
        </w:rPr>
        <w:t>в том числе верхний предел долга по муниципальным гарантиям Ханты-Мансийского района               в сумме 0,0 тыс. рублей;</w:t>
      </w:r>
    </w:p>
    <w:p w:rsidR="00E807E2" w:rsidRPr="00546FBC" w:rsidRDefault="00F830C9" w:rsidP="00AC5FC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F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807E2" w:rsidRPr="00546FBC">
        <w:rPr>
          <w:rFonts w:ascii="Times New Roman" w:eastAsia="Calibri" w:hAnsi="Times New Roman" w:cs="Times New Roman"/>
          <w:sz w:val="28"/>
          <w:szCs w:val="28"/>
        </w:rPr>
        <w:t xml:space="preserve">предельный объем муниципального внутреннего долга района                     в сумме </w:t>
      </w:r>
      <w:r w:rsidRPr="00546FBC">
        <w:rPr>
          <w:rFonts w:ascii="Times New Roman" w:eastAsia="Calibri" w:hAnsi="Times New Roman" w:cs="Times New Roman"/>
          <w:sz w:val="28"/>
          <w:szCs w:val="28"/>
        </w:rPr>
        <w:t xml:space="preserve">121 539,3 </w:t>
      </w:r>
      <w:r w:rsidR="00E807E2" w:rsidRPr="00546FBC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E807E2" w:rsidRPr="00546FBC" w:rsidRDefault="003A4859" w:rsidP="00AC5F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F830C9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величение </w:t>
      </w:r>
      <w:r w:rsidR="00E807E2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верхнего предела муниципального внутреннего долга района и предельного объёма муниципального внутреннего долга района составит  </w:t>
      </w:r>
      <w:r w:rsidR="00546FBC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9 345,7 </w:t>
      </w:r>
      <w:r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или </w:t>
      </w:r>
      <w:r w:rsidR="00546FBC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>22,8 % и 16 354,9</w:t>
      </w:r>
      <w:r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                      или </w:t>
      </w:r>
      <w:r w:rsidR="00546FBC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>15,5</w:t>
      </w:r>
      <w:r w:rsidR="00E807E2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соответственно, в сравнении с указанными показателями, предусмотренными решением Думы Ханты-Мансийского района                        о</w:t>
      </w:r>
      <w:r w:rsidR="004769E3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>т  07.12.2018</w:t>
      </w:r>
      <w:r w:rsidR="00CF13A5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D07CE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>375</w:t>
      </w:r>
      <w:r w:rsidR="00E807E2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Ханты-Мансийского района на 201</w:t>
      </w:r>
      <w:r w:rsidR="000D07CE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>9 год и плановый период 2020</w:t>
      </w:r>
      <w:r w:rsidR="00E807E2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D07CE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807E2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="00546FBC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ред. от 20.02.2019</w:t>
      </w:r>
      <w:proofErr w:type="gramEnd"/>
      <w:r w:rsidR="00546FBC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440)</w:t>
      </w:r>
      <w:r w:rsidR="00E807E2" w:rsidRPr="00546F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830C9" w:rsidRPr="00546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BD1" w:rsidRPr="000A3BD1" w:rsidRDefault="00E807E2" w:rsidP="00AC5F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пояснител</w:t>
      </w:r>
      <w:r w:rsidR="003A4859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>ьной записке к Проекту решения, вне</w:t>
      </w:r>
      <w:r w:rsidR="001F42C7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сение изменений </w:t>
      </w:r>
      <w:r w:rsidR="00B7678B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связано с увеличением </w:t>
      </w:r>
      <w:r w:rsidR="001F42C7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потребности муниципального предприятия </w:t>
      </w:r>
      <w:r w:rsidR="00CF13A5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42C7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>МП «ЖЭК-3»</w:t>
      </w:r>
      <w:r w:rsidR="008F544F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государственной финансовой</w:t>
      </w:r>
      <w:r w:rsidR="00AC5F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42C7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поддержке</w:t>
      </w:r>
      <w:r w:rsidR="00CF13A5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42C7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>досрочного завоза продукции (товаров) и в сре</w:t>
      </w:r>
      <w:r w:rsidR="008F544F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>дствах для возмещения расходов по доставке продукции (товаров) водным транспортом  по углю марки ССПК</w:t>
      </w:r>
      <w:r w:rsidR="009229C0" w:rsidRPr="000A3BD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7678B" w:rsidRPr="004C7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заключенным контрактом </w:t>
      </w:r>
      <w:r w:rsidR="00AC5F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7678B" w:rsidRPr="004C7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60 от 29.04.2019 </w:t>
      </w:r>
      <w:r w:rsidR="008F544F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B7678B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централизованную поставку каменного угл</w:t>
      </w:r>
      <w:r w:rsidR="00AC5FC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7678B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5F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B7678B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>в населенные пункты Хан</w:t>
      </w:r>
      <w:r w:rsidR="00AC5FC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B7678B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>ы-Мансийского автономного округа – Югры</w:t>
      </w:r>
      <w:proofErr w:type="gramEnd"/>
      <w:r w:rsidR="00B7678B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69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B7678B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ограниченными сроками </w:t>
      </w:r>
      <w:r w:rsidR="008F544F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3BD1" w:rsidRPr="000A3BD1">
        <w:rPr>
          <w:rFonts w:ascii="Times New Roman" w:eastAsia="Calibri" w:hAnsi="Times New Roman" w:cs="Times New Roman"/>
          <w:sz w:val="28"/>
          <w:szCs w:val="28"/>
          <w:lang w:eastAsia="ru-RU"/>
        </w:rPr>
        <w:t>завоза грузов в навигацию 2019 года.</w:t>
      </w:r>
    </w:p>
    <w:p w:rsidR="00E807E2" w:rsidRPr="00767991" w:rsidRDefault="00E807E2" w:rsidP="00AC5F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991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муниципального долга соответствует ограничениям, установленным абзацем 1 пункта 3 статьи 107 Бюджетного кодекса Российской Федерации.</w:t>
      </w:r>
    </w:p>
    <w:p w:rsidR="00367774" w:rsidRPr="00767991" w:rsidRDefault="00E807E2" w:rsidP="00AC5F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муниципальных внутренних заимствований (бюджетные кредиты от других бюджетов бюджетной системы Российской Федерации), указанные в Программе муниципальных внутренних заимствований </w:t>
      </w:r>
      <w:r w:rsidR="00321872" w:rsidRPr="00767991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2019</w:t>
      </w:r>
      <w:r w:rsidRPr="00767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корреспондируются с объемами соответствующих поступлений, указанными в источниках внутреннего финанси</w:t>
      </w:r>
      <w:r w:rsidR="00321872" w:rsidRPr="00767991">
        <w:rPr>
          <w:rFonts w:ascii="Times New Roman" w:eastAsia="Calibri" w:hAnsi="Times New Roman" w:cs="Times New Roman"/>
          <w:sz w:val="28"/>
          <w:szCs w:val="28"/>
          <w:lang w:eastAsia="ru-RU"/>
        </w:rPr>
        <w:t>рования дефицита бюджета на 2019</w:t>
      </w:r>
      <w:r w:rsidR="00585AFF" w:rsidRPr="00767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367774" w:rsidRPr="00767991" w:rsidRDefault="00367774" w:rsidP="00AC5F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807E2" w:rsidRPr="004B5FB9" w:rsidRDefault="00131C1B" w:rsidP="00AC5F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FB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4B5F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B5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4B5F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  <w:r w:rsidR="00A75F22" w:rsidRPr="004B5F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B5F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планового периода </w:t>
      </w:r>
      <w:r w:rsidR="008A69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4B5F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 и 2021</w:t>
      </w:r>
      <w:r w:rsidR="00E807E2" w:rsidRPr="004B5F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807E2" w:rsidRDefault="00E807E2" w:rsidP="00AC5F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вносимых изменений по основным параметрам бюджета </w:t>
      </w:r>
      <w:r w:rsidR="00131C1B" w:rsidRPr="004B5FB9">
        <w:rPr>
          <w:rFonts w:ascii="Times New Roman" w:eastAsia="Calibri" w:hAnsi="Times New Roman" w:cs="Times New Roman"/>
          <w:sz w:val="28"/>
          <w:szCs w:val="28"/>
          <w:lang w:eastAsia="ru-RU"/>
        </w:rPr>
        <w:t>планового периода 2020 и 2021</w:t>
      </w:r>
      <w:r w:rsidRPr="004B5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4B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4</w:t>
      </w:r>
      <w:r w:rsidR="00AC5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4B5FB9" w:rsidRDefault="00E807E2" w:rsidP="00E807E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B5FB9">
        <w:rPr>
          <w:rFonts w:ascii="Times New Roman" w:eastAsia="Calibri" w:hAnsi="Times New Roman" w:cs="Times New Roman"/>
          <w:lang w:eastAsia="ru-RU"/>
        </w:rPr>
        <w:t xml:space="preserve">   </w:t>
      </w:r>
      <w:r w:rsidRPr="004B5FB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Таблица 4</w:t>
      </w:r>
    </w:p>
    <w:p w:rsidR="0004088A" w:rsidRPr="004B5FB9" w:rsidRDefault="00E807E2" w:rsidP="00E807E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5FB9">
        <w:rPr>
          <w:rFonts w:ascii="Times New Roman" w:eastAsia="Calibri" w:hAnsi="Times New Roman" w:cs="Times New Roman"/>
          <w:sz w:val="18"/>
          <w:szCs w:val="18"/>
          <w:lang w:eastAsia="ru-RU"/>
        </w:rPr>
        <w:t>(тыс.</w:t>
      </w:r>
      <w:r w:rsidR="00B71D53" w:rsidRPr="004B5F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4B5FB9">
        <w:rPr>
          <w:rFonts w:ascii="Times New Roman" w:eastAsia="Calibri" w:hAnsi="Times New Roman" w:cs="Times New Roman"/>
          <w:sz w:val="18"/>
          <w:szCs w:val="18"/>
          <w:lang w:eastAsia="ru-RU"/>
        </w:rPr>
        <w:t>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527"/>
        <w:gridCol w:w="1417"/>
        <w:gridCol w:w="993"/>
        <w:gridCol w:w="1134"/>
        <w:gridCol w:w="1275"/>
        <w:gridCol w:w="1259"/>
        <w:gridCol w:w="1116"/>
      </w:tblGrid>
      <w:tr w:rsidR="0004088A" w:rsidRPr="0004088A" w:rsidTr="0004088A">
        <w:trPr>
          <w:trHeight w:val="300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бюджета/  Данные в разрезе плановых периодов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04088A" w:rsidRPr="0004088A" w:rsidTr="004B5FB9">
        <w:trPr>
          <w:trHeight w:val="1440"/>
        </w:trPr>
        <w:tc>
          <w:tcPr>
            <w:tcW w:w="473" w:type="dxa"/>
            <w:vMerge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07.12.2018 № 375(в ред. от 20.02.2019 </w:t>
            </w:r>
            <w:r w:rsidR="008A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440)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07.12.2018 № 375</w:t>
            </w:r>
            <w:r w:rsidR="008A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(в ред. от 20.02.2019</w:t>
            </w:r>
            <w:r w:rsidR="008A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440)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</w:tr>
      <w:tr w:rsidR="0004088A" w:rsidRPr="0004088A" w:rsidTr="004B5FB9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4088A" w:rsidRPr="0004088A" w:rsidTr="004B5FB9">
        <w:trPr>
          <w:trHeight w:val="300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3 264 525,3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3 268 647,3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3 459 887,0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3 464 009,0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4 122,0</w:t>
            </w:r>
          </w:p>
        </w:tc>
      </w:tr>
      <w:tr w:rsidR="0004088A" w:rsidRPr="0004088A" w:rsidTr="008A69EE">
        <w:trPr>
          <w:trHeight w:val="594"/>
        </w:trPr>
        <w:tc>
          <w:tcPr>
            <w:tcW w:w="473" w:type="dxa"/>
            <w:vMerge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1 863 335,3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1 867 457,3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2 022 120,9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2 026 242,9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4 122,</w:t>
            </w:r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4088A" w:rsidRPr="0004088A" w:rsidTr="004B5FB9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3 381 986,8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3 386 108,8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3 580 520,1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3 584 642,1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4 122,</w:t>
            </w:r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4088A" w:rsidRPr="0004088A" w:rsidTr="004B5FB9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-117 461,5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-117 461,5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-120 633,1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-120 633,1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4088A" w:rsidRPr="0004088A" w:rsidRDefault="0004088A" w:rsidP="000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04088A" w:rsidRDefault="0004088A" w:rsidP="00E807E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highlight w:val="yellow"/>
          <w:lang w:eastAsia="ru-RU"/>
        </w:rPr>
      </w:pPr>
    </w:p>
    <w:p w:rsidR="00E807E2" w:rsidRPr="008F11EF" w:rsidRDefault="00E807E2" w:rsidP="008A69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Таблицы 4 Проектом решения                                           доходная и расходная части планового периода                        </w:t>
      </w:r>
      <w:r w:rsidR="00B71D53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2020 и 2021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B5FB9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на  4 122,0 тыс. рублей</w:t>
      </w:r>
      <w:r w:rsidR="007B5DE9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FB9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</w:t>
      </w:r>
      <w:r w:rsidR="007B5DE9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4B5FB9" w:rsidRPr="008F11EF" w:rsidRDefault="00DA6F05" w:rsidP="008A69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доходы бюджета прогнозируются в размере</w:t>
      </w:r>
      <w:r w:rsidR="00F02CAE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B5FB9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B5FB9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8 647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 рублей. Доходная</w:t>
      </w:r>
      <w:r w:rsidR="00E807E2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 увеличивается</w:t>
      </w:r>
      <w:r w:rsidR="00F02CAE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807E2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B5FB9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4 122,0</w:t>
      </w:r>
      <w:r w:rsidR="00A75F22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E807E2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увеличения </w:t>
      </w:r>
      <w:r w:rsidR="004B5FB9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выполнение передаваемых полномочий субъектов Российской Федерации.</w:t>
      </w:r>
    </w:p>
    <w:p w:rsidR="008F11EF" w:rsidRPr="008F11EF" w:rsidRDefault="00E807E2" w:rsidP="008A69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367774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202</w:t>
      </w:r>
      <w:r w:rsidR="005C6076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 составят</w:t>
      </w:r>
      <w:r w:rsidR="0073024F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EF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3 386 108,8</w:t>
      </w:r>
      <w:r w:rsidR="005C6076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02CAE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C6076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</w:t>
      </w:r>
      <w:r w:rsidR="008F11EF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4 122,0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C6076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Сумму 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5C6076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076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мероприятия мун</w:t>
      </w:r>
      <w:r w:rsidR="0073024F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</w:t>
      </w:r>
      <w:r w:rsidR="005C6076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024F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программ</w:t>
      </w:r>
      <w:r w:rsidR="001104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1EF" w:rsidRDefault="00110421" w:rsidP="008A6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525">
        <w:rPr>
          <w:rFonts w:ascii="Times New Roman" w:eastAsia="Calibri" w:hAnsi="Times New Roman" w:cs="Times New Roman"/>
          <w:sz w:val="28"/>
          <w:szCs w:val="28"/>
        </w:rPr>
        <w:t>«Обеспечение экологической безопасности Ханты-Мансийск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района на 2019-2021 годы»  </w:t>
      </w:r>
      <w:r w:rsidR="00763464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Calibri" w:hAnsi="Times New Roman" w:cs="Times New Roman"/>
          <w:sz w:val="28"/>
          <w:szCs w:val="28"/>
        </w:rPr>
        <w:t>8,3</w:t>
      </w:r>
      <w:r w:rsidRPr="008F352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25043" w:rsidRPr="00540000" w:rsidRDefault="00763464" w:rsidP="008A6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00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54000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40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0000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40000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8A6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540000">
        <w:rPr>
          <w:rFonts w:ascii="Times New Roman" w:eastAsia="Calibri" w:hAnsi="Times New Roman" w:cs="Times New Roman"/>
          <w:sz w:val="28"/>
          <w:szCs w:val="28"/>
        </w:rPr>
        <w:t>на 2019-2021 годы»  в размере 4 143,7 тыс. рублей,</w:t>
      </w:r>
    </w:p>
    <w:p w:rsidR="00763464" w:rsidRDefault="00763464" w:rsidP="008A6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E1E">
        <w:rPr>
          <w:rFonts w:ascii="Times New Roman" w:eastAsia="Calibri" w:hAnsi="Times New Roman" w:cs="Times New Roman"/>
          <w:sz w:val="28"/>
          <w:szCs w:val="28"/>
        </w:rPr>
        <w:t>«Культура</w:t>
      </w:r>
      <w:r w:rsidRPr="004A235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2019-2021 годы»                       </w:t>
      </w:r>
      <w:r w:rsidR="00540000">
        <w:rPr>
          <w:rFonts w:ascii="Times New Roman" w:eastAsia="Calibri" w:hAnsi="Times New Roman" w:cs="Times New Roman"/>
          <w:sz w:val="28"/>
          <w:szCs w:val="28"/>
        </w:rPr>
        <w:t>в размере 30,0</w:t>
      </w:r>
      <w:r w:rsidRPr="00155E1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5400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000" w:rsidRPr="00F32C9F" w:rsidRDefault="00540000" w:rsidP="008A6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C9F">
        <w:rPr>
          <w:rFonts w:ascii="Times New Roman" w:eastAsia="Calibri" w:hAnsi="Times New Roman" w:cs="Times New Roman"/>
          <w:sz w:val="28"/>
          <w:szCs w:val="28"/>
        </w:rPr>
        <w:t>По муниципальной программе</w:t>
      </w:r>
      <w:r w:rsidR="00F32C9F" w:rsidRPr="00F32C9F">
        <w:rPr>
          <w:rFonts w:ascii="Times New Roman" w:eastAsia="Calibri" w:hAnsi="Times New Roman" w:cs="Times New Roman"/>
          <w:sz w:val="28"/>
          <w:szCs w:val="28"/>
        </w:rPr>
        <w:t xml:space="preserve"> «Развитие и модернизация </w:t>
      </w:r>
      <w:r w:rsidR="0048691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32C9F" w:rsidRPr="00F32C9F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комплекса и повышение энергетической эффективности </w:t>
      </w:r>
      <w:proofErr w:type="gramStart"/>
      <w:r w:rsidR="00F32C9F" w:rsidRPr="00F32C9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32C9F" w:rsidRPr="00F32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32C9F" w:rsidRPr="00F32C9F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F32C9F" w:rsidRPr="00F32C9F">
        <w:rPr>
          <w:rFonts w:ascii="Times New Roman" w:eastAsia="Calibri" w:hAnsi="Times New Roman" w:cs="Times New Roman"/>
          <w:sz w:val="28"/>
          <w:szCs w:val="28"/>
        </w:rPr>
        <w:t xml:space="preserve"> районе на 2019-2024 годы» предлагается снижение расходов на 60,0 тыс. рублей.</w:t>
      </w:r>
    </w:p>
    <w:p w:rsidR="008F11EF" w:rsidRDefault="00110421" w:rsidP="008A69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32C9F">
        <w:rPr>
          <w:rFonts w:ascii="Times New Roman" w:eastAsia="Calibri" w:hAnsi="Times New Roman" w:cs="Times New Roman"/>
          <w:sz w:val="28"/>
          <w:szCs w:val="28"/>
        </w:rPr>
        <w:t>По муниципальной программе «Развитие малого и среднего предпринимательства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 </w:t>
      </w:r>
      <w:r w:rsidR="004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4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перераспределение денежных средств между мероприятиями программы в </w:t>
      </w:r>
      <w:r w:rsidR="00525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4 865,2 тыс. р</w:t>
      </w:r>
      <w:r w:rsidR="0052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без изменения общего объема финансирования.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076" w:rsidRPr="00F32C9F" w:rsidRDefault="0073024F" w:rsidP="008A69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</w:t>
      </w:r>
      <w:r w:rsidR="00367774" w:rsidRPr="00F32C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на 202</w:t>
      </w:r>
      <w:r w:rsidR="00D85A81" w:rsidRPr="00F32C9F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 не изменит</w:t>
      </w:r>
      <w:r w:rsidRPr="00F32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составит</w:t>
      </w:r>
      <w:r w:rsidR="00F02CAE" w:rsidRPr="00F3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3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117 461,5 тыс. рублей. </w:t>
      </w:r>
    </w:p>
    <w:p w:rsidR="00F32C9F" w:rsidRDefault="00367774" w:rsidP="008A69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доходы бюджета прогнозируются в размере </w:t>
      </w:r>
      <w:r w:rsidR="00F02CAE"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2C9F"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2C9F"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>64 009,0</w:t>
      </w:r>
      <w:r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Доходная часть бюджета увеличивается</w:t>
      </w:r>
      <w:r w:rsidR="00F02CAE"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32C9F"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4 122,0 </w:t>
      </w:r>
      <w:r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за счет </w:t>
      </w:r>
      <w:r w:rsidR="00F32C9F"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субвенции на выполнение передаваемых полномочий субъектов Российской Федерации</w:t>
      </w:r>
      <w:r w:rsidR="00F32C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аналогично 2020 году.</w:t>
      </w:r>
    </w:p>
    <w:p w:rsidR="00030B92" w:rsidRPr="00030B92" w:rsidRDefault="00367774" w:rsidP="008A69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</w:t>
      </w:r>
      <w:r w:rsidR="00D85A81"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составят </w:t>
      </w:r>
      <w:r w:rsidR="00D85A81" w:rsidRPr="0003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6506" w:rsidRPr="0003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5A81" w:rsidRPr="0003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3E6506" w:rsidRPr="0003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4 642,1</w:t>
      </w:r>
      <w:r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02CAE"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увеличиваются на </w:t>
      </w:r>
      <w:r w:rsidR="003E6506"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4 122,0 </w:t>
      </w:r>
      <w:r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30B92"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B92" w:rsidRPr="008F11EF" w:rsidRDefault="00030B92" w:rsidP="008A69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увеличения предполагается  направить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1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следующих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программ: </w:t>
      </w:r>
    </w:p>
    <w:p w:rsidR="00030B92" w:rsidRDefault="00030B92" w:rsidP="008A6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525">
        <w:rPr>
          <w:rFonts w:ascii="Times New Roman" w:eastAsia="Calibri" w:hAnsi="Times New Roman" w:cs="Times New Roman"/>
          <w:sz w:val="28"/>
          <w:szCs w:val="28"/>
        </w:rPr>
        <w:t>«Обеспечение экологической безопасности Ханты-Мансийск</w:t>
      </w:r>
      <w:r>
        <w:rPr>
          <w:rFonts w:ascii="Times New Roman" w:eastAsia="Calibri" w:hAnsi="Times New Roman" w:cs="Times New Roman"/>
          <w:sz w:val="28"/>
          <w:szCs w:val="28"/>
        </w:rPr>
        <w:t>ого района на 2019-2021 годы»  в размере 8,3</w:t>
      </w:r>
      <w:r w:rsidRPr="008F352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0B92" w:rsidRPr="00540000" w:rsidRDefault="00030B92" w:rsidP="008A6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00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54000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40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0000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40000">
        <w:rPr>
          <w:rFonts w:ascii="Times New Roman" w:eastAsia="Calibri" w:hAnsi="Times New Roman" w:cs="Times New Roman"/>
          <w:sz w:val="28"/>
          <w:szCs w:val="28"/>
        </w:rPr>
        <w:t xml:space="preserve"> районе на 2019-2021 годы»  в размере 4 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40000">
        <w:rPr>
          <w:rFonts w:ascii="Times New Roman" w:eastAsia="Calibri" w:hAnsi="Times New Roman" w:cs="Times New Roman"/>
          <w:sz w:val="28"/>
          <w:szCs w:val="28"/>
        </w:rPr>
        <w:t>3,7 тыс. рублей,</w:t>
      </w:r>
    </w:p>
    <w:p w:rsidR="00030B92" w:rsidRDefault="00030B92" w:rsidP="008A69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32C9F">
        <w:rPr>
          <w:rFonts w:ascii="Times New Roman" w:eastAsia="Calibri" w:hAnsi="Times New Roman" w:cs="Times New Roman"/>
          <w:sz w:val="28"/>
          <w:szCs w:val="28"/>
        </w:rPr>
        <w:lastRenderedPageBreak/>
        <w:t>По муниципальной программе «Развитие малого и среднего предпринимательства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</w:t>
      </w:r>
      <w:r w:rsidR="004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на 2019-</w:t>
      </w:r>
      <w:r w:rsidRPr="008F11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перераспределение денежных средств между мероприятиями программы в сумме 4 865,2 тыс. рублей, без изменения общего объема финансирования, аналогично 2020 году.  </w:t>
      </w:r>
    </w:p>
    <w:p w:rsidR="00367774" w:rsidRPr="001D7819" w:rsidRDefault="00367774" w:rsidP="008A69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202</w:t>
      </w:r>
      <w:r w:rsidR="00030B92" w:rsidRPr="001D78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5A81" w:rsidRPr="001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изменит</w:t>
      </w:r>
      <w:r w:rsidRPr="001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 составит </w:t>
      </w:r>
      <w:r w:rsidR="00A75F22" w:rsidRPr="001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85A81" w:rsidRPr="001D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120 633,1</w:t>
      </w:r>
      <w:r w:rsidRPr="001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D5908" w:rsidRDefault="00DD5908" w:rsidP="008A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1A2" w:rsidRPr="00A4661F" w:rsidRDefault="006021A2" w:rsidP="008A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6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6021A2" w:rsidRPr="00A4661F" w:rsidRDefault="006021A2" w:rsidP="008A69EE">
      <w:pPr>
        <w:pStyle w:val="ConsTitle"/>
        <w:widowControl/>
        <w:ind w:right="0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</w:pPr>
      <w:r w:rsidRPr="00A4661F">
        <w:rPr>
          <w:rFonts w:ascii="Times New Roman" w:hAnsi="Times New Roman" w:cs="Times New Roman"/>
          <w:b w:val="0"/>
          <w:sz w:val="28"/>
          <w:szCs w:val="28"/>
        </w:rPr>
        <w:tab/>
        <w:t xml:space="preserve">По результатам экспертно-аналитического мероприятия «Экспертиза проекта решения Думы Ханты-Мансийского района </w:t>
      </w:r>
      <w:r w:rsidRPr="00A4661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«О внесении изменений в решение Думы Ханты-Мансийского района                                         от 07.12.2018 № 375 «О бюджете Ханты-Мансийского района на 2019 год и плановый период 2020 и 2021 годов», </w:t>
      </w:r>
      <w:r w:rsidRPr="00A4661F">
        <w:rPr>
          <w:rFonts w:ascii="Times New Roman" w:hAnsi="Times New Roman" w:cs="Times New Roman"/>
          <w:b w:val="0"/>
          <w:sz w:val="28"/>
          <w:szCs w:val="28"/>
        </w:rPr>
        <w:t>с учетом вышеизложенного, контрольно-счетная палата Ханты-Мансийского района</w:t>
      </w:r>
      <w:r w:rsidRPr="00A4661F">
        <w:rPr>
          <w:rFonts w:ascii="Times New Roman" w:hAnsi="Times New Roman" w:cs="Times New Roman"/>
          <w:sz w:val="28"/>
          <w:szCs w:val="28"/>
        </w:rPr>
        <w:t xml:space="preserve"> </w:t>
      </w:r>
      <w:r w:rsidRPr="00A4661F">
        <w:rPr>
          <w:rFonts w:ascii="Times New Roman" w:hAnsi="Times New Roman" w:cs="Times New Roman"/>
          <w:b w:val="0"/>
          <w:sz w:val="28"/>
          <w:szCs w:val="28"/>
        </w:rPr>
        <w:t>предлагает:</w:t>
      </w:r>
    </w:p>
    <w:p w:rsidR="006021A2" w:rsidRPr="00A4661F" w:rsidRDefault="006021A2" w:rsidP="008A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1F">
        <w:rPr>
          <w:rFonts w:ascii="Times New Roman" w:hAnsi="Times New Roman" w:cs="Times New Roman"/>
          <w:sz w:val="28"/>
          <w:szCs w:val="28"/>
        </w:rPr>
        <w:t>1. Думе Ханты-Мансийского района утвердить представленный проект решения Думы Ханты-Мансийского района «О бюджете                               Ханты-Мансийского района на 2019 год и плановый период                          2020 и 2021 годов», с учетом замечаний и предложений, содержащихся                   в настоящем заключении.</w:t>
      </w:r>
    </w:p>
    <w:p w:rsidR="008A69EE" w:rsidRDefault="006021A2" w:rsidP="008A69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61F">
        <w:rPr>
          <w:rFonts w:ascii="Times New Roman" w:hAnsi="Times New Roman" w:cs="Times New Roman"/>
          <w:sz w:val="28"/>
          <w:szCs w:val="28"/>
        </w:rPr>
        <w:t xml:space="preserve">2. Главным распорядителям средств бюджета                                  Ханты-Мансийского района при формировании </w:t>
      </w:r>
      <w:r w:rsidR="007409EF" w:rsidRPr="00A4661F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8A69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09EF" w:rsidRPr="00A4661F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обеспечить качественное предоставление </w:t>
      </w:r>
      <w:r w:rsidR="008A69E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обоснований</w:t>
      </w:r>
      <w:r w:rsidR="007409EF" w:rsidRPr="00A46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вносимых изменений по расходам</w:t>
      </w:r>
      <w:r w:rsidR="00DD5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приложением </w:t>
      </w:r>
      <w:r w:rsidR="008A69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объективных </w:t>
      </w:r>
      <w:r w:rsidR="00DD5908">
        <w:rPr>
          <w:rFonts w:ascii="Times New Roman" w:eastAsia="Calibri" w:hAnsi="Times New Roman" w:cs="Times New Roman"/>
          <w:sz w:val="28"/>
          <w:szCs w:val="28"/>
          <w:lang w:eastAsia="ru-RU"/>
        </w:rPr>
        <w:t>расчетов, материалов</w:t>
      </w:r>
      <w:r w:rsidR="00F43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3D0A" w:rsidRPr="00E86D0B">
        <w:rPr>
          <w:rFonts w:ascii="Times New Roman" w:hAnsi="Times New Roman" w:cs="Times New Roman"/>
          <w:bCs/>
          <w:sz w:val="28"/>
          <w:szCs w:val="28"/>
        </w:rPr>
        <w:t>и (или) документ</w:t>
      </w:r>
      <w:r w:rsidR="00DD5908">
        <w:rPr>
          <w:rFonts w:ascii="Times New Roman" w:hAnsi="Times New Roman" w:cs="Times New Roman"/>
          <w:bCs/>
          <w:sz w:val="28"/>
          <w:szCs w:val="28"/>
        </w:rPr>
        <w:t>ов</w:t>
      </w:r>
      <w:r w:rsidR="008A69EE">
        <w:rPr>
          <w:rFonts w:ascii="Times New Roman" w:hAnsi="Times New Roman" w:cs="Times New Roman"/>
          <w:bCs/>
          <w:sz w:val="28"/>
          <w:szCs w:val="28"/>
        </w:rPr>
        <w:t>, в том числе утвержденных в установленном порядке.</w:t>
      </w:r>
    </w:p>
    <w:p w:rsidR="00F43D0A" w:rsidRPr="00F43D0A" w:rsidRDefault="001F02C3" w:rsidP="008A6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53E7" w:rsidRPr="00A466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7E2" w:rsidRPr="00A4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D0A" w:rsidRPr="00F43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25267">
        <w:rPr>
          <w:rFonts w:ascii="Times New Roman" w:eastAsia="Calibri" w:hAnsi="Times New Roman" w:cs="Times New Roman"/>
          <w:sz w:val="28"/>
          <w:szCs w:val="28"/>
        </w:rPr>
        <w:t>Финансовому органу п</w:t>
      </w:r>
      <w:r w:rsidR="00F43D0A" w:rsidRPr="00F43D0A">
        <w:rPr>
          <w:rFonts w:ascii="Times New Roman" w:eastAsia="Calibri" w:hAnsi="Times New Roman" w:cs="Times New Roman"/>
          <w:sz w:val="28"/>
          <w:szCs w:val="28"/>
        </w:rPr>
        <w:t xml:space="preserve">ривести в соответствие потребность </w:t>
      </w:r>
      <w:r w:rsidR="008A69E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43D0A" w:rsidRPr="00F43D0A">
        <w:rPr>
          <w:rFonts w:ascii="Times New Roman" w:eastAsia="Calibri" w:hAnsi="Times New Roman" w:cs="Times New Roman"/>
          <w:sz w:val="28"/>
          <w:szCs w:val="28"/>
        </w:rPr>
        <w:t xml:space="preserve">в ассигнованиях на заработную плату и начисления на оплату труда </w:t>
      </w:r>
      <w:r w:rsidR="008A69E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43D0A" w:rsidRPr="00F43D0A">
        <w:rPr>
          <w:rFonts w:ascii="Times New Roman" w:eastAsia="Calibri" w:hAnsi="Times New Roman" w:cs="Times New Roman"/>
          <w:sz w:val="28"/>
          <w:szCs w:val="28"/>
        </w:rPr>
        <w:t>в части муниципального бюджетного образовательного учреждения дополнительного образования Ханты-Мансийского райо</w:t>
      </w:r>
      <w:r w:rsidR="00F43D0A">
        <w:rPr>
          <w:rFonts w:ascii="Times New Roman" w:eastAsia="Calibri" w:hAnsi="Times New Roman" w:cs="Times New Roman"/>
          <w:sz w:val="28"/>
          <w:szCs w:val="28"/>
        </w:rPr>
        <w:t>на «Детская музыкальная школа»,</w:t>
      </w:r>
      <w:r w:rsidR="00F43D0A" w:rsidRPr="00F43D0A">
        <w:rPr>
          <w:rFonts w:ascii="Times New Roman" w:eastAsia="Calibri" w:hAnsi="Times New Roman" w:cs="Times New Roman"/>
          <w:sz w:val="28"/>
          <w:szCs w:val="28"/>
        </w:rPr>
        <w:t xml:space="preserve"> с учетом </w:t>
      </w:r>
      <w:r w:rsidR="00F43D0A" w:rsidRPr="005B7290">
        <w:rPr>
          <w:rFonts w:ascii="Times New Roman" w:eastAsia="Calibri" w:hAnsi="Times New Roman" w:cs="Times New Roman"/>
          <w:sz w:val="28"/>
          <w:szCs w:val="28"/>
        </w:rPr>
        <w:t xml:space="preserve">предоставленных расчетов к проекту решения Думы Ханты-Мансийского района «О внесении изменений </w:t>
      </w:r>
      <w:r w:rsidR="008A69EE" w:rsidRPr="005B729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43D0A" w:rsidRPr="005B7290">
        <w:rPr>
          <w:rFonts w:ascii="Times New Roman" w:eastAsia="Calibri" w:hAnsi="Times New Roman" w:cs="Times New Roman"/>
          <w:sz w:val="28"/>
          <w:szCs w:val="28"/>
        </w:rPr>
        <w:t>в решение Думы Ханты-Мансийского района от 21.09.2018 № 351 «Об утверждении Положений об определении размеров и условий оплаты труда</w:t>
      </w:r>
      <w:proofErr w:type="gramEnd"/>
      <w:r w:rsidR="00F43D0A" w:rsidRPr="005B7290">
        <w:rPr>
          <w:rFonts w:ascii="Times New Roman" w:eastAsia="Calibri" w:hAnsi="Times New Roman" w:cs="Times New Roman"/>
          <w:sz w:val="28"/>
          <w:szCs w:val="28"/>
        </w:rPr>
        <w:t xml:space="preserve"> руководителей и работников муниципальных учреждений культуры и дополнительного образования Ханты-Мансийского</w:t>
      </w:r>
      <w:r w:rsidR="00F43D0A" w:rsidRPr="00F43D0A">
        <w:rPr>
          <w:rFonts w:ascii="Times New Roman" w:eastAsia="Calibri" w:hAnsi="Times New Roman" w:cs="Times New Roman"/>
          <w:sz w:val="28"/>
          <w:szCs w:val="28"/>
        </w:rPr>
        <w:t xml:space="preserve"> района, функциональное руководство деятельностью в отношении которых осуществляет Муниципальное казенное учреждение Ханты-Мансийского района «Комитет по культуре, спорту и социальной политике» </w:t>
      </w:r>
      <w:r w:rsidR="008A69E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43D0A" w:rsidRPr="00F43D0A">
        <w:rPr>
          <w:rFonts w:ascii="Times New Roman" w:eastAsia="Calibri" w:hAnsi="Times New Roman" w:cs="Times New Roman"/>
          <w:sz w:val="28"/>
          <w:szCs w:val="28"/>
        </w:rPr>
        <w:t>от 25.03.2019.</w:t>
      </w:r>
      <w:r w:rsidR="00E86D0B">
        <w:rPr>
          <w:rFonts w:ascii="Times New Roman" w:eastAsia="Calibri" w:hAnsi="Times New Roman" w:cs="Times New Roman"/>
          <w:sz w:val="28"/>
          <w:szCs w:val="28"/>
        </w:rPr>
        <w:t xml:space="preserve"> Корректировку указанных расходов учесть при следующем внесении изменений в бюджет Ханты-Мансийского района.</w:t>
      </w:r>
    </w:p>
    <w:p w:rsidR="00DD5908" w:rsidRPr="00BA047D" w:rsidRDefault="00E97200" w:rsidP="008A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53E7" w:rsidRPr="00A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B0CF3" w:rsidRPr="00A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049F">
        <w:rPr>
          <w:rFonts w:ascii="Times New Roman" w:hAnsi="Times New Roman" w:cs="Times New Roman"/>
          <w:sz w:val="28"/>
        </w:rPr>
        <w:t xml:space="preserve"> </w:t>
      </w:r>
      <w:r w:rsidR="00DD5908">
        <w:rPr>
          <w:rFonts w:ascii="Times New Roman" w:hAnsi="Times New Roman" w:cs="Times New Roman"/>
          <w:sz w:val="28"/>
        </w:rPr>
        <w:t xml:space="preserve">В срок до </w:t>
      </w:r>
      <w:r w:rsidR="006C201A">
        <w:rPr>
          <w:rFonts w:ascii="Times New Roman" w:hAnsi="Times New Roman" w:cs="Times New Roman"/>
          <w:sz w:val="28"/>
        </w:rPr>
        <w:t>05.06.2019</w:t>
      </w:r>
      <w:r w:rsidR="006C201A" w:rsidRPr="006C201A">
        <w:rPr>
          <w:rFonts w:ascii="Times New Roman" w:hAnsi="Times New Roman" w:cs="Times New Roman"/>
          <w:sz w:val="28"/>
          <w:szCs w:val="28"/>
        </w:rPr>
        <w:t xml:space="preserve"> </w:t>
      </w:r>
      <w:r w:rsidR="006C201A" w:rsidRPr="000D042F">
        <w:rPr>
          <w:rFonts w:ascii="Times New Roman" w:hAnsi="Times New Roman" w:cs="Times New Roman"/>
          <w:sz w:val="28"/>
          <w:szCs w:val="28"/>
        </w:rPr>
        <w:t xml:space="preserve">представить в адрес контрольно-счетной палаты Ханты-Мансийского района информацию (материалы и (или) </w:t>
      </w:r>
      <w:r w:rsidR="006C201A" w:rsidRPr="000D042F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документы) по результатам рассмотрения предложений и принятым мерам, </w:t>
      </w:r>
      <w:r w:rsidR="006C201A">
        <w:rPr>
          <w:rFonts w:ascii="Times New Roman" w:hAnsi="Times New Roman" w:cs="Times New Roman"/>
          <w:sz w:val="28"/>
          <w:szCs w:val="28"/>
        </w:rPr>
        <w:t>в части данного Проекта решения.</w:t>
      </w:r>
    </w:p>
    <w:p w:rsidR="005F23E8" w:rsidRPr="009424B1" w:rsidRDefault="005F23E8" w:rsidP="00E0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798C" w:rsidRPr="00DD5908" w:rsidRDefault="0014798C" w:rsidP="00E01210">
      <w:pPr>
        <w:pStyle w:val="ConsTitle"/>
        <w:widowControl/>
        <w:ind w:right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ab/>
      </w:r>
      <w:proofErr w:type="gramStart"/>
      <w:r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Контрольно-счетная палата отмечает не</w:t>
      </w:r>
      <w:r w:rsidR="00DD5908"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выполнение предложений </w:t>
      </w:r>
      <w:r w:rsidR="00F45F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</w:t>
      </w:r>
      <w:r w:rsidR="00DD5908"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 предоставлению</w:t>
      </w:r>
      <w:r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информации </w:t>
      </w:r>
      <w:r w:rsidR="000B523B"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по результатам рассмотрения предложений и принятым мерам, в части </w:t>
      </w:r>
      <w:r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заключений</w:t>
      </w:r>
      <w:r w:rsidR="000B523B"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на проект</w:t>
      </w:r>
      <w:r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ы</w:t>
      </w:r>
      <w:r w:rsidR="000B523B"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решения Думы Ханты-Мансийского района «О бюджете Ханты-Мансийского района на 2019 год и плановый период 2020 и 2021 годов» (от </w:t>
      </w:r>
      <w:r w:rsidR="003114BF"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03.12.2018 № 19-Исх-454/2018)</w:t>
      </w:r>
      <w:r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и «О внесении изменений в решение Думы </w:t>
      </w:r>
      <w:r w:rsidR="00F45F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Ханты-Мансийского района от 07.12.2018 № 375 «О бюджете </w:t>
      </w:r>
      <w:r w:rsidR="00F45F2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Ханты-Мансийского района на 2019</w:t>
      </w:r>
      <w:proofErr w:type="gramEnd"/>
      <w:r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год и плановый период 2020 и 2021 годов» (от </w:t>
      </w:r>
      <w:r w:rsidR="00DD5908"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18.02.2019 № 19-Исх-41/2019)</w:t>
      </w:r>
      <w:r w:rsidR="009B3F7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, в связи с чем</w:t>
      </w:r>
      <w:r w:rsidR="00E0121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,</w:t>
      </w:r>
      <w:r w:rsidR="009B3F7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9D0B63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повторно предлагает рассмотреть указанные заключения и представить информацию в срок до 05.06.2019</w:t>
      </w:r>
      <w:r w:rsidR="00DD5908" w:rsidRPr="00DD590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</w:p>
    <w:p w:rsidR="000B523B" w:rsidRDefault="000B523B" w:rsidP="001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523B" w:rsidSect="004B2143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90" w:rsidRDefault="005B7290" w:rsidP="00617B40">
      <w:pPr>
        <w:spacing w:after="0" w:line="240" w:lineRule="auto"/>
      </w:pPr>
      <w:r>
        <w:separator/>
      </w:r>
    </w:p>
  </w:endnote>
  <w:endnote w:type="continuationSeparator" w:id="0">
    <w:p w:rsidR="005B7290" w:rsidRDefault="005B72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6142"/>
      <w:docPartObj>
        <w:docPartGallery w:val="Page Numbers (Bottom of Page)"/>
        <w:docPartUnique/>
      </w:docPartObj>
    </w:sdtPr>
    <w:sdtEndPr/>
    <w:sdtContent>
      <w:p w:rsidR="005B7290" w:rsidRDefault="005B72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694">
          <w:rPr>
            <w:noProof/>
          </w:rPr>
          <w:t>11</w:t>
        </w:r>
        <w:r>
          <w:fldChar w:fldCharType="end"/>
        </w:r>
      </w:p>
    </w:sdtContent>
  </w:sdt>
  <w:p w:rsidR="005B7290" w:rsidRDefault="005B7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90" w:rsidRDefault="005B7290" w:rsidP="00617B40">
      <w:pPr>
        <w:spacing w:after="0" w:line="240" w:lineRule="auto"/>
      </w:pPr>
      <w:r>
        <w:separator/>
      </w:r>
    </w:p>
  </w:footnote>
  <w:footnote w:type="continuationSeparator" w:id="0">
    <w:p w:rsidR="005B7290" w:rsidRDefault="005B729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3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4"/>
  </w:num>
  <w:num w:numId="4">
    <w:abstractNumId w:val="34"/>
  </w:num>
  <w:num w:numId="5">
    <w:abstractNumId w:val="35"/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3"/>
  </w:num>
  <w:num w:numId="12">
    <w:abstractNumId w:val="13"/>
  </w:num>
  <w:num w:numId="13">
    <w:abstractNumId w:val="16"/>
  </w:num>
  <w:num w:numId="14">
    <w:abstractNumId w:val="4"/>
  </w:num>
  <w:num w:numId="15">
    <w:abstractNumId w:val="28"/>
  </w:num>
  <w:num w:numId="16">
    <w:abstractNumId w:val="3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5"/>
  </w:num>
  <w:num w:numId="22">
    <w:abstractNumId w:val="20"/>
  </w:num>
  <w:num w:numId="23">
    <w:abstractNumId w:val="7"/>
  </w:num>
  <w:num w:numId="24">
    <w:abstractNumId w:val="9"/>
  </w:num>
  <w:num w:numId="25">
    <w:abstractNumId w:val="1"/>
  </w:num>
  <w:num w:numId="26">
    <w:abstractNumId w:val="31"/>
  </w:num>
  <w:num w:numId="27">
    <w:abstractNumId w:val="8"/>
  </w:num>
  <w:num w:numId="28">
    <w:abstractNumId w:val="32"/>
  </w:num>
  <w:num w:numId="29">
    <w:abstractNumId w:val="19"/>
  </w:num>
  <w:num w:numId="30">
    <w:abstractNumId w:val="27"/>
  </w:num>
  <w:num w:numId="31">
    <w:abstractNumId w:val="30"/>
  </w:num>
  <w:num w:numId="32">
    <w:abstractNumId w:val="22"/>
  </w:num>
  <w:num w:numId="33">
    <w:abstractNumId w:val="11"/>
  </w:num>
  <w:num w:numId="34">
    <w:abstractNumId w:val="23"/>
  </w:num>
  <w:num w:numId="35">
    <w:abstractNumId w:val="17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0B92"/>
    <w:rsid w:val="00040206"/>
    <w:rsid w:val="0004088A"/>
    <w:rsid w:val="000408C6"/>
    <w:rsid w:val="000501A3"/>
    <w:rsid w:val="000553F6"/>
    <w:rsid w:val="00080320"/>
    <w:rsid w:val="00082D7C"/>
    <w:rsid w:val="00093104"/>
    <w:rsid w:val="00093349"/>
    <w:rsid w:val="00094184"/>
    <w:rsid w:val="0009485B"/>
    <w:rsid w:val="00094C89"/>
    <w:rsid w:val="00097404"/>
    <w:rsid w:val="000A1AE8"/>
    <w:rsid w:val="000A20DE"/>
    <w:rsid w:val="000A3BD1"/>
    <w:rsid w:val="000B30E4"/>
    <w:rsid w:val="000B4C48"/>
    <w:rsid w:val="000B523B"/>
    <w:rsid w:val="000B6BD3"/>
    <w:rsid w:val="000C30DB"/>
    <w:rsid w:val="000C497C"/>
    <w:rsid w:val="000C730F"/>
    <w:rsid w:val="000C742E"/>
    <w:rsid w:val="000D07CE"/>
    <w:rsid w:val="000E25B1"/>
    <w:rsid w:val="000E2AD9"/>
    <w:rsid w:val="000E4D41"/>
    <w:rsid w:val="000F242D"/>
    <w:rsid w:val="00101925"/>
    <w:rsid w:val="00105F70"/>
    <w:rsid w:val="00110421"/>
    <w:rsid w:val="001130A4"/>
    <w:rsid w:val="00113D3B"/>
    <w:rsid w:val="0011709F"/>
    <w:rsid w:val="00131C1B"/>
    <w:rsid w:val="0014798C"/>
    <w:rsid w:val="00150967"/>
    <w:rsid w:val="00155E1E"/>
    <w:rsid w:val="00167936"/>
    <w:rsid w:val="00174EB5"/>
    <w:rsid w:val="00182B80"/>
    <w:rsid w:val="001847D2"/>
    <w:rsid w:val="0018593A"/>
    <w:rsid w:val="0018600B"/>
    <w:rsid w:val="00186A59"/>
    <w:rsid w:val="00187098"/>
    <w:rsid w:val="001941A4"/>
    <w:rsid w:val="001A5070"/>
    <w:rsid w:val="001B1C65"/>
    <w:rsid w:val="001B1FD1"/>
    <w:rsid w:val="001C5C3F"/>
    <w:rsid w:val="001D578D"/>
    <w:rsid w:val="001D7819"/>
    <w:rsid w:val="001F02C3"/>
    <w:rsid w:val="001F42C7"/>
    <w:rsid w:val="002025A5"/>
    <w:rsid w:val="00206F4B"/>
    <w:rsid w:val="0021693B"/>
    <w:rsid w:val="0022446C"/>
    <w:rsid w:val="00224F32"/>
    <w:rsid w:val="00225C7D"/>
    <w:rsid w:val="002300FD"/>
    <w:rsid w:val="00232251"/>
    <w:rsid w:val="00234040"/>
    <w:rsid w:val="00250209"/>
    <w:rsid w:val="002529F0"/>
    <w:rsid w:val="00261D49"/>
    <w:rsid w:val="00276FC1"/>
    <w:rsid w:val="00280DF1"/>
    <w:rsid w:val="00282946"/>
    <w:rsid w:val="00297A80"/>
    <w:rsid w:val="002A75A0"/>
    <w:rsid w:val="002B36A2"/>
    <w:rsid w:val="002C3286"/>
    <w:rsid w:val="002C42BE"/>
    <w:rsid w:val="002C5D13"/>
    <w:rsid w:val="002D0994"/>
    <w:rsid w:val="002D5984"/>
    <w:rsid w:val="002F3E00"/>
    <w:rsid w:val="002F6F3B"/>
    <w:rsid w:val="00300637"/>
    <w:rsid w:val="00301280"/>
    <w:rsid w:val="003114BF"/>
    <w:rsid w:val="00315F12"/>
    <w:rsid w:val="00321872"/>
    <w:rsid w:val="0032342B"/>
    <w:rsid w:val="00327F7C"/>
    <w:rsid w:val="003406FC"/>
    <w:rsid w:val="00343BF0"/>
    <w:rsid w:val="00343FF5"/>
    <w:rsid w:val="0036158D"/>
    <w:rsid w:val="003624D8"/>
    <w:rsid w:val="00367774"/>
    <w:rsid w:val="00374341"/>
    <w:rsid w:val="00393DAD"/>
    <w:rsid w:val="00397EFC"/>
    <w:rsid w:val="003A4859"/>
    <w:rsid w:val="003C46DF"/>
    <w:rsid w:val="003D2C35"/>
    <w:rsid w:val="003E6506"/>
    <w:rsid w:val="003F2416"/>
    <w:rsid w:val="003F3603"/>
    <w:rsid w:val="003F618B"/>
    <w:rsid w:val="00404BE7"/>
    <w:rsid w:val="00417101"/>
    <w:rsid w:val="00422070"/>
    <w:rsid w:val="004253DF"/>
    <w:rsid w:val="00431272"/>
    <w:rsid w:val="004333EE"/>
    <w:rsid w:val="00433BB0"/>
    <w:rsid w:val="0044146C"/>
    <w:rsid w:val="0044500A"/>
    <w:rsid w:val="00465FC6"/>
    <w:rsid w:val="004703FF"/>
    <w:rsid w:val="004734E1"/>
    <w:rsid w:val="004769E3"/>
    <w:rsid w:val="00480224"/>
    <w:rsid w:val="00486919"/>
    <w:rsid w:val="0049081D"/>
    <w:rsid w:val="00497523"/>
    <w:rsid w:val="004A235A"/>
    <w:rsid w:val="004B2143"/>
    <w:rsid w:val="004B28BF"/>
    <w:rsid w:val="004B5FB9"/>
    <w:rsid w:val="004C069C"/>
    <w:rsid w:val="004C7125"/>
    <w:rsid w:val="004C71DA"/>
    <w:rsid w:val="004D0AB3"/>
    <w:rsid w:val="004D19CB"/>
    <w:rsid w:val="004D3DE8"/>
    <w:rsid w:val="004E22E9"/>
    <w:rsid w:val="004F72DA"/>
    <w:rsid w:val="004F7CDE"/>
    <w:rsid w:val="00500E03"/>
    <w:rsid w:val="00510474"/>
    <w:rsid w:val="00514E41"/>
    <w:rsid w:val="00525043"/>
    <w:rsid w:val="0053005B"/>
    <w:rsid w:val="00532CA8"/>
    <w:rsid w:val="00540000"/>
    <w:rsid w:val="00541441"/>
    <w:rsid w:val="005439BD"/>
    <w:rsid w:val="00546FBC"/>
    <w:rsid w:val="0056694C"/>
    <w:rsid w:val="00572453"/>
    <w:rsid w:val="00581A5A"/>
    <w:rsid w:val="00581A5E"/>
    <w:rsid w:val="00582D84"/>
    <w:rsid w:val="00585AFF"/>
    <w:rsid w:val="00594B5B"/>
    <w:rsid w:val="005A66B0"/>
    <w:rsid w:val="005B2935"/>
    <w:rsid w:val="005B6379"/>
    <w:rsid w:val="005B7083"/>
    <w:rsid w:val="005B7290"/>
    <w:rsid w:val="005B7E89"/>
    <w:rsid w:val="005C6076"/>
    <w:rsid w:val="005C734D"/>
    <w:rsid w:val="005F0864"/>
    <w:rsid w:val="005F23E8"/>
    <w:rsid w:val="005F5E03"/>
    <w:rsid w:val="006021A2"/>
    <w:rsid w:val="00617B40"/>
    <w:rsid w:val="0062166C"/>
    <w:rsid w:val="00623C81"/>
    <w:rsid w:val="00624276"/>
    <w:rsid w:val="00626321"/>
    <w:rsid w:val="00626796"/>
    <w:rsid w:val="00636F28"/>
    <w:rsid w:val="00652867"/>
    <w:rsid w:val="00655734"/>
    <w:rsid w:val="006564F8"/>
    <w:rsid w:val="006615CF"/>
    <w:rsid w:val="00663104"/>
    <w:rsid w:val="00667FAB"/>
    <w:rsid w:val="00671DDE"/>
    <w:rsid w:val="006722F9"/>
    <w:rsid w:val="00672691"/>
    <w:rsid w:val="00681141"/>
    <w:rsid w:val="006A54B6"/>
    <w:rsid w:val="006A5B30"/>
    <w:rsid w:val="006A5EC3"/>
    <w:rsid w:val="006B1282"/>
    <w:rsid w:val="006B77B0"/>
    <w:rsid w:val="006C201A"/>
    <w:rsid w:val="006C37AF"/>
    <w:rsid w:val="006C6EC8"/>
    <w:rsid w:val="006C77B8"/>
    <w:rsid w:val="006D0C12"/>
    <w:rsid w:val="006D18AE"/>
    <w:rsid w:val="006D495B"/>
    <w:rsid w:val="0070518F"/>
    <w:rsid w:val="00713D90"/>
    <w:rsid w:val="00725AE3"/>
    <w:rsid w:val="0073024F"/>
    <w:rsid w:val="00732CFF"/>
    <w:rsid w:val="007343BF"/>
    <w:rsid w:val="007409EF"/>
    <w:rsid w:val="00762778"/>
    <w:rsid w:val="00763464"/>
    <w:rsid w:val="00767991"/>
    <w:rsid w:val="0077003D"/>
    <w:rsid w:val="0077481C"/>
    <w:rsid w:val="00782501"/>
    <w:rsid w:val="00794307"/>
    <w:rsid w:val="007A0722"/>
    <w:rsid w:val="007A22CF"/>
    <w:rsid w:val="007A57D8"/>
    <w:rsid w:val="007A79E9"/>
    <w:rsid w:val="007B2A5C"/>
    <w:rsid w:val="007B5DE9"/>
    <w:rsid w:val="007C5828"/>
    <w:rsid w:val="007D1266"/>
    <w:rsid w:val="007E31A1"/>
    <w:rsid w:val="00804D7A"/>
    <w:rsid w:val="00805A4C"/>
    <w:rsid w:val="00814D49"/>
    <w:rsid w:val="00817E08"/>
    <w:rsid w:val="00822F9D"/>
    <w:rsid w:val="00827A88"/>
    <w:rsid w:val="00836E87"/>
    <w:rsid w:val="008459BB"/>
    <w:rsid w:val="00846BFB"/>
    <w:rsid w:val="00876A94"/>
    <w:rsid w:val="00885896"/>
    <w:rsid w:val="00886731"/>
    <w:rsid w:val="00887852"/>
    <w:rsid w:val="008976CB"/>
    <w:rsid w:val="00897CB6"/>
    <w:rsid w:val="008A419B"/>
    <w:rsid w:val="008A69EE"/>
    <w:rsid w:val="008B292F"/>
    <w:rsid w:val="008C2ACB"/>
    <w:rsid w:val="008D2264"/>
    <w:rsid w:val="008D6252"/>
    <w:rsid w:val="008D6CAD"/>
    <w:rsid w:val="008E4601"/>
    <w:rsid w:val="008E6F27"/>
    <w:rsid w:val="008E7B32"/>
    <w:rsid w:val="008F11EF"/>
    <w:rsid w:val="008F3525"/>
    <w:rsid w:val="008F544F"/>
    <w:rsid w:val="00900F79"/>
    <w:rsid w:val="00903CF1"/>
    <w:rsid w:val="009059C9"/>
    <w:rsid w:val="00912779"/>
    <w:rsid w:val="0092232B"/>
    <w:rsid w:val="009229C0"/>
    <w:rsid w:val="00925267"/>
    <w:rsid w:val="009253E7"/>
    <w:rsid w:val="00927695"/>
    <w:rsid w:val="00933810"/>
    <w:rsid w:val="00936748"/>
    <w:rsid w:val="009424B1"/>
    <w:rsid w:val="00962B7D"/>
    <w:rsid w:val="00962E3B"/>
    <w:rsid w:val="0096338B"/>
    <w:rsid w:val="00983489"/>
    <w:rsid w:val="009917B5"/>
    <w:rsid w:val="009A231B"/>
    <w:rsid w:val="009B3F74"/>
    <w:rsid w:val="009B5764"/>
    <w:rsid w:val="009C0855"/>
    <w:rsid w:val="009C1751"/>
    <w:rsid w:val="009D0B63"/>
    <w:rsid w:val="009E24AA"/>
    <w:rsid w:val="009F6EC2"/>
    <w:rsid w:val="00A11B96"/>
    <w:rsid w:val="00A14960"/>
    <w:rsid w:val="00A33D50"/>
    <w:rsid w:val="00A43360"/>
    <w:rsid w:val="00A4661F"/>
    <w:rsid w:val="00A5727E"/>
    <w:rsid w:val="00A57F56"/>
    <w:rsid w:val="00A75F22"/>
    <w:rsid w:val="00A96A56"/>
    <w:rsid w:val="00AA3F1E"/>
    <w:rsid w:val="00AA4D29"/>
    <w:rsid w:val="00AC0F95"/>
    <w:rsid w:val="00AC16A7"/>
    <w:rsid w:val="00AC194A"/>
    <w:rsid w:val="00AC5FCF"/>
    <w:rsid w:val="00AD697A"/>
    <w:rsid w:val="00AE4D49"/>
    <w:rsid w:val="00AF1991"/>
    <w:rsid w:val="00B0009B"/>
    <w:rsid w:val="00B11599"/>
    <w:rsid w:val="00B17E67"/>
    <w:rsid w:val="00B2079F"/>
    <w:rsid w:val="00B2259C"/>
    <w:rsid w:val="00B230DD"/>
    <w:rsid w:val="00B2484D"/>
    <w:rsid w:val="00B45166"/>
    <w:rsid w:val="00B45F61"/>
    <w:rsid w:val="00B53A62"/>
    <w:rsid w:val="00B53AC6"/>
    <w:rsid w:val="00B626AF"/>
    <w:rsid w:val="00B71D53"/>
    <w:rsid w:val="00B7678B"/>
    <w:rsid w:val="00B76CD1"/>
    <w:rsid w:val="00B81A2D"/>
    <w:rsid w:val="00B96155"/>
    <w:rsid w:val="00BA047D"/>
    <w:rsid w:val="00BB0A44"/>
    <w:rsid w:val="00BB2B21"/>
    <w:rsid w:val="00BB611F"/>
    <w:rsid w:val="00BB6639"/>
    <w:rsid w:val="00BE0C05"/>
    <w:rsid w:val="00BE2AF4"/>
    <w:rsid w:val="00BF253B"/>
    <w:rsid w:val="00BF262A"/>
    <w:rsid w:val="00C002B4"/>
    <w:rsid w:val="00C14118"/>
    <w:rsid w:val="00C16253"/>
    <w:rsid w:val="00C21D1F"/>
    <w:rsid w:val="00C22B91"/>
    <w:rsid w:val="00C239F1"/>
    <w:rsid w:val="00C368AB"/>
    <w:rsid w:val="00C36F0C"/>
    <w:rsid w:val="00C36F5A"/>
    <w:rsid w:val="00C4059C"/>
    <w:rsid w:val="00C5049F"/>
    <w:rsid w:val="00C5134A"/>
    <w:rsid w:val="00C51F70"/>
    <w:rsid w:val="00C52488"/>
    <w:rsid w:val="00C60984"/>
    <w:rsid w:val="00C7412C"/>
    <w:rsid w:val="00CA3861"/>
    <w:rsid w:val="00CA7141"/>
    <w:rsid w:val="00CC7C2A"/>
    <w:rsid w:val="00CF13A5"/>
    <w:rsid w:val="00CF3794"/>
    <w:rsid w:val="00CF44D0"/>
    <w:rsid w:val="00CF744D"/>
    <w:rsid w:val="00D007DF"/>
    <w:rsid w:val="00D10F23"/>
    <w:rsid w:val="00D155CC"/>
    <w:rsid w:val="00D1584B"/>
    <w:rsid w:val="00D20948"/>
    <w:rsid w:val="00D213D8"/>
    <w:rsid w:val="00D22694"/>
    <w:rsid w:val="00D26095"/>
    <w:rsid w:val="00D43162"/>
    <w:rsid w:val="00D44096"/>
    <w:rsid w:val="00D449C9"/>
    <w:rsid w:val="00D461F1"/>
    <w:rsid w:val="00D4701F"/>
    <w:rsid w:val="00D53054"/>
    <w:rsid w:val="00D60569"/>
    <w:rsid w:val="00D616A4"/>
    <w:rsid w:val="00D64FB3"/>
    <w:rsid w:val="00D768D7"/>
    <w:rsid w:val="00D8061E"/>
    <w:rsid w:val="00D85A81"/>
    <w:rsid w:val="00D97F22"/>
    <w:rsid w:val="00DA00C1"/>
    <w:rsid w:val="00DA6F05"/>
    <w:rsid w:val="00DB032D"/>
    <w:rsid w:val="00DB0CF3"/>
    <w:rsid w:val="00DC0388"/>
    <w:rsid w:val="00DD5908"/>
    <w:rsid w:val="00DE12FA"/>
    <w:rsid w:val="00E00FF1"/>
    <w:rsid w:val="00E01210"/>
    <w:rsid w:val="00E020E1"/>
    <w:rsid w:val="00E024DC"/>
    <w:rsid w:val="00E05238"/>
    <w:rsid w:val="00E05262"/>
    <w:rsid w:val="00E20170"/>
    <w:rsid w:val="00E26486"/>
    <w:rsid w:val="00E319F5"/>
    <w:rsid w:val="00E35131"/>
    <w:rsid w:val="00E459AF"/>
    <w:rsid w:val="00E516F7"/>
    <w:rsid w:val="00E52034"/>
    <w:rsid w:val="00E5750B"/>
    <w:rsid w:val="00E57648"/>
    <w:rsid w:val="00E624C3"/>
    <w:rsid w:val="00E64D19"/>
    <w:rsid w:val="00E71141"/>
    <w:rsid w:val="00E807E2"/>
    <w:rsid w:val="00E86D0B"/>
    <w:rsid w:val="00E95BC5"/>
    <w:rsid w:val="00E95E56"/>
    <w:rsid w:val="00E97200"/>
    <w:rsid w:val="00EA36BD"/>
    <w:rsid w:val="00EB028C"/>
    <w:rsid w:val="00ED01A2"/>
    <w:rsid w:val="00ED123C"/>
    <w:rsid w:val="00EF214F"/>
    <w:rsid w:val="00F02CAE"/>
    <w:rsid w:val="00F114E8"/>
    <w:rsid w:val="00F134BA"/>
    <w:rsid w:val="00F155DA"/>
    <w:rsid w:val="00F262C9"/>
    <w:rsid w:val="00F27B64"/>
    <w:rsid w:val="00F32C9F"/>
    <w:rsid w:val="00F34C2A"/>
    <w:rsid w:val="00F43D0A"/>
    <w:rsid w:val="00F449DF"/>
    <w:rsid w:val="00F45F26"/>
    <w:rsid w:val="00F54F00"/>
    <w:rsid w:val="00F55E37"/>
    <w:rsid w:val="00F60096"/>
    <w:rsid w:val="00F64E07"/>
    <w:rsid w:val="00F66F20"/>
    <w:rsid w:val="00F765C7"/>
    <w:rsid w:val="00F830C9"/>
    <w:rsid w:val="00F9024A"/>
    <w:rsid w:val="00F9161B"/>
    <w:rsid w:val="00FA4CF5"/>
    <w:rsid w:val="00FB3912"/>
    <w:rsid w:val="00FB7756"/>
    <w:rsid w:val="00FB7EEE"/>
    <w:rsid w:val="00FC3FBE"/>
    <w:rsid w:val="00FE183E"/>
    <w:rsid w:val="00FE3150"/>
    <w:rsid w:val="00FE367D"/>
    <w:rsid w:val="00FE6EB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A865-F9EB-4390-8728-D726BFEF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2019-05-16T12:05:00Z</dcterms:modified>
</cp:coreProperties>
</file>